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0D98"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西部科学城重庆高新区管委会</w:t>
      </w:r>
      <w:r>
        <w:rPr>
          <w:rFonts w:ascii="Times New Roman" w:eastAsia="方正小标宋_GBK" w:hAnsi="Times New Roman" w:hint="eastAsia"/>
          <w:sz w:val="44"/>
          <w:szCs w:val="44"/>
        </w:rPr>
        <w:t>关于</w:t>
      </w:r>
    </w:p>
    <w:p w:rsidR="00BF0D98"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2024</w:t>
      </w:r>
      <w:r>
        <w:rPr>
          <w:rFonts w:ascii="Times New Roman" w:eastAsia="方正小标宋_GBK" w:hAnsi="Times New Roman"/>
          <w:sz w:val="44"/>
          <w:szCs w:val="44"/>
        </w:rPr>
        <w:t>年</w:t>
      </w:r>
      <w:r>
        <w:rPr>
          <w:rFonts w:ascii="Times New Roman" w:eastAsia="方正小标宋_GBK" w:hAnsi="Times New Roman" w:hint="eastAsia"/>
          <w:sz w:val="44"/>
          <w:szCs w:val="44"/>
        </w:rPr>
        <w:t>决</w:t>
      </w:r>
      <w:r>
        <w:rPr>
          <w:rFonts w:ascii="Times New Roman" w:eastAsia="方正小标宋_GBK" w:hAnsi="Times New Roman"/>
          <w:sz w:val="44"/>
          <w:szCs w:val="44"/>
        </w:rPr>
        <w:t>算</w:t>
      </w:r>
      <w:r>
        <w:rPr>
          <w:rFonts w:ascii="Times New Roman" w:eastAsia="方正小标宋_GBK" w:hAnsi="Times New Roman" w:hint="eastAsia"/>
          <w:sz w:val="44"/>
          <w:szCs w:val="44"/>
        </w:rPr>
        <w:t>的</w:t>
      </w:r>
      <w:r>
        <w:rPr>
          <w:rFonts w:ascii="Times New Roman" w:eastAsia="方正小标宋_GBK" w:hAnsi="Times New Roman"/>
          <w:sz w:val="44"/>
          <w:szCs w:val="44"/>
        </w:rPr>
        <w:t>报告</w:t>
      </w:r>
    </w:p>
    <w:p w:rsidR="00BF0D98" w:rsidRPr="00951030" w:rsidRDefault="00BF0D98">
      <w:pPr>
        <w:spacing w:line="600" w:lineRule="exact"/>
        <w:rPr>
          <w:rFonts w:ascii="Times New Roman" w:eastAsia="方正楷体_GBK" w:hAnsi="Times New Roman"/>
          <w:sz w:val="44"/>
          <w:szCs w:val="44"/>
        </w:rPr>
      </w:pP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西部科学城重庆高新区坚持以习近平新时代中国特色社会主义思想为指导，深入学习贯彻党的二十大和二十届二中、三中全会精神，深学笃行习近平总书记视察重庆重要讲话重要指示精神，全面落实市委六届五次、六次全会部署要求，紧扣成渝地区双城经济圈建设、西部陆海新通道建设等国家战略，加力提效实施积极的财政政策，加强财政资源统筹，不断提升财政保障能力，持续深化预算绩效管理，积极推进财政体制改革，着力强化政府债务风险管控，财政运行总体平稳。</w:t>
      </w:r>
    </w:p>
    <w:p w:rsidR="00BF0D98" w:rsidRDefault="00000000">
      <w:pPr>
        <w:keepNext/>
        <w:keepLines/>
        <w:spacing w:line="600" w:lineRule="exact"/>
        <w:ind w:firstLineChars="200" w:firstLine="640"/>
        <w:jc w:val="left"/>
        <w:outlineLvl w:val="0"/>
        <w:rPr>
          <w:rFonts w:ascii="Times New Roman" w:eastAsia="方正黑体_GBK" w:hAnsi="Times New Roman"/>
          <w:bCs/>
          <w:kern w:val="44"/>
          <w:sz w:val="32"/>
          <w:szCs w:val="44"/>
        </w:rPr>
      </w:pPr>
      <w:r>
        <w:rPr>
          <w:rFonts w:ascii="Times New Roman" w:eastAsia="方正黑体_GBK" w:hAnsi="Times New Roman"/>
          <w:bCs/>
          <w:kern w:val="44"/>
          <w:sz w:val="32"/>
          <w:szCs w:val="44"/>
        </w:rPr>
        <w:t>一、</w:t>
      </w:r>
      <w:bookmarkStart w:id="0" w:name="_Hlk190972860"/>
      <w:r>
        <w:rPr>
          <w:rFonts w:ascii="Times New Roman" w:eastAsia="方正黑体_GBK" w:hAnsi="Times New Roman"/>
          <w:bCs/>
          <w:kern w:val="44"/>
          <w:sz w:val="32"/>
          <w:szCs w:val="44"/>
        </w:rPr>
        <w:t>2024</w:t>
      </w:r>
      <w:r>
        <w:rPr>
          <w:rFonts w:ascii="Times New Roman" w:eastAsia="方正黑体_GBK" w:hAnsi="Times New Roman"/>
          <w:bCs/>
          <w:kern w:val="44"/>
          <w:sz w:val="32"/>
          <w:szCs w:val="44"/>
        </w:rPr>
        <w:t>年</w:t>
      </w:r>
      <w:r>
        <w:rPr>
          <w:rFonts w:ascii="Times New Roman" w:eastAsia="方正黑体_GBK" w:hAnsi="Times New Roman" w:hint="eastAsia"/>
          <w:bCs/>
          <w:kern w:val="44"/>
          <w:sz w:val="32"/>
          <w:szCs w:val="44"/>
        </w:rPr>
        <w:t>收支决算</w:t>
      </w:r>
      <w:r>
        <w:rPr>
          <w:rFonts w:ascii="Times New Roman" w:eastAsia="方正黑体_GBK" w:hAnsi="Times New Roman"/>
          <w:bCs/>
          <w:kern w:val="44"/>
          <w:sz w:val="32"/>
          <w:szCs w:val="44"/>
        </w:rPr>
        <w:t>情况</w:t>
      </w:r>
      <w:bookmarkEnd w:id="0"/>
    </w:p>
    <w:p w:rsidR="00BF0D98" w:rsidRDefault="00000000">
      <w:pPr>
        <w:keepNext/>
        <w:keepLines/>
        <w:spacing w:line="600" w:lineRule="exact"/>
        <w:ind w:firstLineChars="200" w:firstLine="640"/>
        <w:jc w:val="left"/>
        <w:outlineLvl w:val="1"/>
        <w:rPr>
          <w:rFonts w:ascii="Times New Roman" w:eastAsia="方正楷体_GBK" w:hAnsi="Times New Roman"/>
          <w:bCs/>
          <w:sz w:val="32"/>
          <w:szCs w:val="32"/>
        </w:rPr>
      </w:pPr>
      <w:bookmarkStart w:id="1" w:name="_Hlk190972918"/>
      <w:r>
        <w:rPr>
          <w:rFonts w:ascii="Times New Roman" w:eastAsia="方正楷体_GBK" w:hAnsi="Times New Roman"/>
          <w:bCs/>
          <w:sz w:val="32"/>
          <w:szCs w:val="32"/>
        </w:rPr>
        <w:t>（一）一般公共预算</w:t>
      </w:r>
    </w:p>
    <w:bookmarkEnd w:id="1"/>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一般公共预算收入年初预算为</w:t>
      </w:r>
      <w:r>
        <w:rPr>
          <w:rFonts w:ascii="Times New Roman" w:eastAsia="方正仿宋_GBK" w:hAnsi="Times New Roman" w:hint="eastAsia"/>
          <w:sz w:val="32"/>
        </w:rPr>
        <w:t>34.2</w:t>
      </w:r>
      <w:r>
        <w:rPr>
          <w:rFonts w:ascii="Times New Roman" w:eastAsia="方正仿宋_GBK" w:hAnsi="Times New Roman" w:hint="eastAsia"/>
          <w:sz w:val="32"/>
        </w:rPr>
        <w:t>亿元，调整预算数为</w:t>
      </w:r>
      <w:r>
        <w:rPr>
          <w:rFonts w:ascii="Times New Roman" w:eastAsia="方正仿宋_GBK" w:hAnsi="Times New Roman" w:hint="eastAsia"/>
          <w:sz w:val="32"/>
        </w:rPr>
        <w:t>32</w:t>
      </w:r>
      <w:r>
        <w:rPr>
          <w:rFonts w:ascii="Times New Roman" w:eastAsia="方正仿宋_GBK" w:hAnsi="Times New Roman" w:hint="eastAsia"/>
          <w:sz w:val="32"/>
        </w:rPr>
        <w:t>亿元，决算数为</w:t>
      </w:r>
      <w:r>
        <w:rPr>
          <w:rFonts w:ascii="Times New Roman" w:eastAsia="方正仿宋_GBK" w:hAnsi="Times New Roman" w:hint="eastAsia"/>
          <w:sz w:val="32"/>
        </w:rPr>
        <w:t>32.2</w:t>
      </w:r>
      <w:r>
        <w:rPr>
          <w:rFonts w:ascii="Times New Roman" w:eastAsia="方正仿宋_GBK" w:hAnsi="Times New Roman" w:hint="eastAsia"/>
          <w:sz w:val="32"/>
        </w:rPr>
        <w:t>亿元，同比增长</w:t>
      </w:r>
      <w:r>
        <w:rPr>
          <w:rFonts w:ascii="Times New Roman" w:eastAsia="方正仿宋_GBK" w:hAnsi="Times New Roman" w:hint="eastAsia"/>
          <w:sz w:val="32"/>
        </w:rPr>
        <w:t>0.8%</w:t>
      </w:r>
      <w:r>
        <w:rPr>
          <w:rFonts w:ascii="Times New Roman" w:eastAsia="方正仿宋_GBK" w:hAnsi="Times New Roman" w:hint="eastAsia"/>
          <w:sz w:val="32"/>
        </w:rPr>
        <w:t>，为调整预算的</w:t>
      </w:r>
      <w:r>
        <w:rPr>
          <w:rFonts w:ascii="Times New Roman" w:eastAsia="方正仿宋_GBK" w:hAnsi="Times New Roman" w:hint="eastAsia"/>
          <w:sz w:val="32"/>
        </w:rPr>
        <w:t>100.8%</w:t>
      </w:r>
      <w:r>
        <w:rPr>
          <w:rFonts w:ascii="Times New Roman" w:eastAsia="方正仿宋_GBK" w:hAnsi="Times New Roman" w:hint="eastAsia"/>
          <w:sz w:val="32"/>
        </w:rPr>
        <w:t>。其中，税收收入</w:t>
      </w:r>
      <w:r>
        <w:rPr>
          <w:rFonts w:ascii="Times New Roman" w:eastAsia="方正仿宋_GBK" w:hAnsi="Times New Roman" w:hint="eastAsia"/>
          <w:sz w:val="32"/>
        </w:rPr>
        <w:t>27.9</w:t>
      </w:r>
      <w:r>
        <w:rPr>
          <w:rFonts w:ascii="Times New Roman" w:eastAsia="方正仿宋_GBK" w:hAnsi="Times New Roman" w:hint="eastAsia"/>
          <w:sz w:val="32"/>
        </w:rPr>
        <w:t>亿元，增长</w:t>
      </w:r>
      <w:r>
        <w:rPr>
          <w:rFonts w:ascii="Times New Roman" w:eastAsia="方正仿宋_GBK" w:hAnsi="Times New Roman" w:hint="eastAsia"/>
          <w:sz w:val="32"/>
        </w:rPr>
        <w:t>7.0%</w:t>
      </w:r>
      <w:r>
        <w:rPr>
          <w:rFonts w:ascii="Times New Roman" w:eastAsia="方正仿宋_GBK" w:hAnsi="Times New Roman" w:hint="eastAsia"/>
          <w:sz w:val="32"/>
        </w:rPr>
        <w:t>，为调整预算的</w:t>
      </w:r>
      <w:r>
        <w:rPr>
          <w:rFonts w:ascii="Times New Roman" w:eastAsia="方正仿宋_GBK" w:hAnsi="Times New Roman" w:hint="eastAsia"/>
          <w:sz w:val="32"/>
        </w:rPr>
        <w:t>103.9%</w:t>
      </w:r>
      <w:r>
        <w:rPr>
          <w:rFonts w:ascii="Times New Roman" w:eastAsia="方正仿宋_GBK" w:hAnsi="Times New Roman" w:hint="eastAsia"/>
          <w:sz w:val="32"/>
        </w:rPr>
        <w:t>；非税收入年初预算为</w:t>
      </w:r>
      <w:r>
        <w:rPr>
          <w:rFonts w:ascii="Times New Roman" w:eastAsia="方正仿宋_GBK" w:hAnsi="Times New Roman" w:hint="eastAsia"/>
          <w:sz w:val="32"/>
        </w:rPr>
        <w:t>6.2</w:t>
      </w:r>
      <w:r>
        <w:rPr>
          <w:rFonts w:ascii="Times New Roman" w:eastAsia="方正仿宋_GBK" w:hAnsi="Times New Roman" w:hint="eastAsia"/>
          <w:sz w:val="32"/>
        </w:rPr>
        <w:t>亿元，调整预算数为</w:t>
      </w:r>
      <w:r>
        <w:rPr>
          <w:rFonts w:ascii="Times New Roman" w:eastAsia="方正仿宋_GBK" w:hAnsi="Times New Roman" w:hint="eastAsia"/>
          <w:sz w:val="32"/>
        </w:rPr>
        <w:t>5.1</w:t>
      </w:r>
      <w:r>
        <w:rPr>
          <w:rFonts w:ascii="Times New Roman" w:eastAsia="方正仿宋_GBK" w:hAnsi="Times New Roman" w:hint="eastAsia"/>
          <w:sz w:val="32"/>
        </w:rPr>
        <w:t>亿元，决算数为</w:t>
      </w:r>
      <w:r>
        <w:rPr>
          <w:rFonts w:ascii="Times New Roman" w:eastAsia="方正仿宋_GBK" w:hAnsi="Times New Roman" w:hint="eastAsia"/>
          <w:sz w:val="32"/>
        </w:rPr>
        <w:t>4.3</w:t>
      </w:r>
      <w:r>
        <w:rPr>
          <w:rFonts w:ascii="Times New Roman" w:eastAsia="方正仿宋_GBK" w:hAnsi="Times New Roman" w:hint="eastAsia"/>
          <w:sz w:val="32"/>
        </w:rPr>
        <w:t>亿元，为调整预算的</w:t>
      </w:r>
      <w:r>
        <w:rPr>
          <w:rFonts w:ascii="Times New Roman" w:eastAsia="方正仿宋_GBK" w:hAnsi="Times New Roman" w:hint="eastAsia"/>
          <w:sz w:val="32"/>
        </w:rPr>
        <w:t>84.2%</w:t>
      </w:r>
      <w:r>
        <w:rPr>
          <w:rFonts w:ascii="Times New Roman" w:eastAsia="方正仿宋_GBK" w:hAnsi="Times New Roman" w:hint="eastAsia"/>
          <w:sz w:val="32"/>
        </w:rPr>
        <w:t>，同比下降</w:t>
      </w:r>
      <w:r>
        <w:rPr>
          <w:rFonts w:ascii="Times New Roman" w:eastAsia="方正仿宋_GBK" w:hAnsi="Times New Roman" w:hint="eastAsia"/>
          <w:sz w:val="32"/>
        </w:rPr>
        <w:t>27%</w:t>
      </w:r>
      <w:r>
        <w:rPr>
          <w:rFonts w:ascii="Times New Roman" w:eastAsia="方正仿宋_GBK" w:hAnsi="Times New Roman" w:hint="eastAsia"/>
          <w:sz w:val="32"/>
        </w:rPr>
        <w:t>。本级收入加上级补助</w:t>
      </w:r>
      <w:r>
        <w:rPr>
          <w:rFonts w:ascii="Times New Roman" w:eastAsia="方正仿宋_GBK" w:hAnsi="Times New Roman" w:hint="eastAsia"/>
          <w:sz w:val="32"/>
        </w:rPr>
        <w:t>65</w:t>
      </w:r>
      <w:r>
        <w:rPr>
          <w:rFonts w:ascii="Times New Roman" w:eastAsia="方正仿宋_GBK" w:hAnsi="Times New Roman" w:hint="eastAsia"/>
          <w:sz w:val="32"/>
        </w:rPr>
        <w:t>亿元、债务转贷收入</w:t>
      </w:r>
      <w:r>
        <w:rPr>
          <w:rFonts w:ascii="Times New Roman" w:eastAsia="方正仿宋_GBK" w:hAnsi="Times New Roman" w:hint="eastAsia"/>
          <w:sz w:val="32"/>
        </w:rPr>
        <w:t>23.6</w:t>
      </w:r>
      <w:r>
        <w:rPr>
          <w:rFonts w:ascii="Times New Roman" w:eastAsia="方正仿宋_GBK" w:hAnsi="Times New Roman" w:hint="eastAsia"/>
          <w:sz w:val="32"/>
        </w:rPr>
        <w:t>亿元、调入资金</w:t>
      </w:r>
      <w:r>
        <w:rPr>
          <w:rFonts w:ascii="Times New Roman" w:eastAsia="方正仿宋_GBK" w:hAnsi="Times New Roman" w:hint="eastAsia"/>
          <w:sz w:val="32"/>
        </w:rPr>
        <w:t>41.1</w:t>
      </w:r>
      <w:r>
        <w:rPr>
          <w:rFonts w:ascii="Times New Roman" w:eastAsia="方正仿宋_GBK" w:hAnsi="Times New Roman" w:hint="eastAsia"/>
          <w:sz w:val="32"/>
        </w:rPr>
        <w:t>亿元、上年结转</w:t>
      </w:r>
      <w:r>
        <w:rPr>
          <w:rFonts w:ascii="Times New Roman" w:eastAsia="方正仿宋_GBK" w:hAnsi="Times New Roman" w:hint="eastAsia"/>
          <w:sz w:val="32"/>
        </w:rPr>
        <w:t>7.1</w:t>
      </w:r>
      <w:r>
        <w:rPr>
          <w:rFonts w:ascii="Times New Roman" w:eastAsia="方正仿宋_GBK" w:hAnsi="Times New Roman" w:hint="eastAsia"/>
          <w:sz w:val="32"/>
        </w:rPr>
        <w:t>亿元、动用预算稳定调节基金</w:t>
      </w:r>
      <w:r>
        <w:rPr>
          <w:rFonts w:ascii="Times New Roman" w:eastAsia="方正仿宋_GBK" w:hAnsi="Times New Roman" w:hint="eastAsia"/>
          <w:sz w:val="32"/>
        </w:rPr>
        <w:t>4</w:t>
      </w:r>
      <w:r>
        <w:rPr>
          <w:rFonts w:ascii="Times New Roman" w:eastAsia="方正仿宋_GBK" w:hAnsi="Times New Roman" w:hint="eastAsia"/>
          <w:sz w:val="32"/>
        </w:rPr>
        <w:t>亿元，收入总量为</w:t>
      </w:r>
      <w:r>
        <w:rPr>
          <w:rFonts w:ascii="Times New Roman" w:eastAsia="方正仿宋_GBK" w:hAnsi="Times New Roman" w:hint="eastAsia"/>
          <w:sz w:val="32"/>
        </w:rPr>
        <w:t>173</w:t>
      </w:r>
      <w:r>
        <w:rPr>
          <w:rFonts w:ascii="Times New Roman" w:eastAsia="方正仿宋_GBK" w:hAnsi="Times New Roman" w:hint="eastAsia"/>
          <w:sz w:val="32"/>
        </w:rPr>
        <w:t>亿元。</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lastRenderedPageBreak/>
        <w:t>一般公共预算本级支出年初预算为</w:t>
      </w:r>
      <w:r>
        <w:rPr>
          <w:rFonts w:ascii="Times New Roman" w:eastAsia="方正仿宋_GBK" w:hAnsi="Times New Roman" w:hint="eastAsia"/>
          <w:sz w:val="32"/>
        </w:rPr>
        <w:t>84</w:t>
      </w:r>
      <w:r>
        <w:rPr>
          <w:rFonts w:ascii="Times New Roman" w:eastAsia="方正仿宋_GBK" w:hAnsi="Times New Roman" w:hint="eastAsia"/>
          <w:sz w:val="32"/>
        </w:rPr>
        <w:t>亿元，调整预算数为</w:t>
      </w:r>
      <w:r>
        <w:rPr>
          <w:rFonts w:ascii="Times New Roman" w:eastAsia="方正仿宋_GBK" w:hAnsi="Times New Roman" w:hint="eastAsia"/>
          <w:sz w:val="32"/>
        </w:rPr>
        <w:t>146.3</w:t>
      </w:r>
      <w:r>
        <w:rPr>
          <w:rFonts w:ascii="Times New Roman" w:eastAsia="方正仿宋_GBK" w:hAnsi="Times New Roman" w:hint="eastAsia"/>
          <w:sz w:val="32"/>
        </w:rPr>
        <w:t>亿元，决算数为</w:t>
      </w:r>
      <w:r>
        <w:rPr>
          <w:rFonts w:ascii="Times New Roman" w:eastAsia="方正仿宋_GBK" w:hAnsi="Times New Roman" w:hint="eastAsia"/>
          <w:sz w:val="32"/>
        </w:rPr>
        <w:t>136.6</w:t>
      </w:r>
      <w:r>
        <w:rPr>
          <w:rFonts w:ascii="Times New Roman" w:eastAsia="方正仿宋_GBK" w:hAnsi="Times New Roman" w:hint="eastAsia"/>
          <w:sz w:val="32"/>
        </w:rPr>
        <w:t>亿元，同比增长</w:t>
      </w:r>
      <w:r>
        <w:rPr>
          <w:rFonts w:ascii="Times New Roman" w:eastAsia="方正仿宋_GBK" w:hAnsi="Times New Roman" w:hint="eastAsia"/>
          <w:sz w:val="32"/>
        </w:rPr>
        <w:t>66.4%</w:t>
      </w:r>
      <w:r>
        <w:rPr>
          <w:rFonts w:ascii="Times New Roman" w:eastAsia="方正仿宋_GBK" w:hAnsi="Times New Roman" w:hint="eastAsia"/>
          <w:sz w:val="32"/>
        </w:rPr>
        <w:t>，为调整预算的</w:t>
      </w:r>
      <w:r>
        <w:rPr>
          <w:rFonts w:ascii="Times New Roman" w:eastAsia="方正仿宋_GBK" w:hAnsi="Times New Roman" w:hint="eastAsia"/>
          <w:sz w:val="32"/>
        </w:rPr>
        <w:t>93.4%</w:t>
      </w:r>
      <w:r>
        <w:rPr>
          <w:rFonts w:ascii="Times New Roman" w:eastAsia="方正仿宋_GBK" w:hAnsi="Times New Roman" w:hint="eastAsia"/>
          <w:sz w:val="32"/>
        </w:rPr>
        <w:t>。加上解上级</w:t>
      </w:r>
      <w:r>
        <w:rPr>
          <w:rFonts w:ascii="Times New Roman" w:eastAsia="方正仿宋_GBK" w:hAnsi="Times New Roman" w:hint="eastAsia"/>
          <w:sz w:val="32"/>
        </w:rPr>
        <w:t>0.6</w:t>
      </w:r>
      <w:r>
        <w:rPr>
          <w:rFonts w:ascii="Times New Roman" w:eastAsia="方正仿宋_GBK" w:hAnsi="Times New Roman" w:hint="eastAsia"/>
          <w:sz w:val="32"/>
        </w:rPr>
        <w:t>亿元、安排预算稳定调节基金</w:t>
      </w:r>
      <w:r>
        <w:rPr>
          <w:rFonts w:ascii="Times New Roman" w:eastAsia="方正仿宋_GBK" w:hAnsi="Times New Roman" w:hint="eastAsia"/>
          <w:sz w:val="32"/>
        </w:rPr>
        <w:t>2.6</w:t>
      </w:r>
      <w:r>
        <w:rPr>
          <w:rFonts w:ascii="Times New Roman" w:eastAsia="方正仿宋_GBK" w:hAnsi="Times New Roman" w:hint="eastAsia"/>
          <w:sz w:val="32"/>
        </w:rPr>
        <w:t>亿元、结转下年</w:t>
      </w:r>
      <w:r>
        <w:rPr>
          <w:rFonts w:ascii="Times New Roman" w:eastAsia="方正仿宋_GBK" w:hAnsi="Times New Roman" w:hint="eastAsia"/>
          <w:sz w:val="32"/>
        </w:rPr>
        <w:t>9.9</w:t>
      </w:r>
      <w:r>
        <w:rPr>
          <w:rFonts w:ascii="Times New Roman" w:eastAsia="方正仿宋_GBK" w:hAnsi="Times New Roman" w:hint="eastAsia"/>
          <w:sz w:val="32"/>
        </w:rPr>
        <w:t>亿元、债务还本支出</w:t>
      </w:r>
      <w:r>
        <w:rPr>
          <w:rFonts w:ascii="Times New Roman" w:eastAsia="方正仿宋_GBK" w:hAnsi="Times New Roman" w:hint="eastAsia"/>
          <w:sz w:val="32"/>
        </w:rPr>
        <w:t>23.3</w:t>
      </w:r>
      <w:r>
        <w:rPr>
          <w:rFonts w:ascii="Times New Roman" w:eastAsia="方正仿宋_GBK" w:hAnsi="Times New Roman" w:hint="eastAsia"/>
          <w:sz w:val="32"/>
        </w:rPr>
        <w:t>亿元，支出总量为</w:t>
      </w:r>
      <w:r>
        <w:rPr>
          <w:rFonts w:ascii="Times New Roman" w:eastAsia="方正仿宋_GBK" w:hAnsi="Times New Roman" w:hint="eastAsia"/>
          <w:sz w:val="32"/>
        </w:rPr>
        <w:t>173</w:t>
      </w:r>
      <w:r>
        <w:rPr>
          <w:rFonts w:ascii="Times New Roman" w:eastAsia="方正仿宋_GBK" w:hAnsi="Times New Roman" w:hint="eastAsia"/>
          <w:sz w:val="32"/>
        </w:rPr>
        <w:t>亿元。</w:t>
      </w:r>
    </w:p>
    <w:p w:rsidR="00BF0D98" w:rsidRDefault="00000000">
      <w:pPr>
        <w:keepNext/>
        <w:keepLines/>
        <w:spacing w:line="600" w:lineRule="exact"/>
        <w:ind w:firstLineChars="200" w:firstLine="640"/>
        <w:jc w:val="left"/>
        <w:outlineLvl w:val="1"/>
        <w:rPr>
          <w:rFonts w:ascii="Times New Roman" w:eastAsia="方正楷体_GBK" w:hAnsi="Times New Roman"/>
          <w:bCs/>
          <w:sz w:val="32"/>
          <w:szCs w:val="32"/>
        </w:rPr>
      </w:pPr>
      <w:r>
        <w:rPr>
          <w:rFonts w:ascii="Times New Roman" w:eastAsia="方正楷体_GBK" w:hAnsi="Times New Roman"/>
          <w:bCs/>
          <w:sz w:val="32"/>
          <w:szCs w:val="32"/>
        </w:rPr>
        <w:t>（二）</w:t>
      </w:r>
      <w:bookmarkStart w:id="2" w:name="_Hlk190972979"/>
      <w:r>
        <w:rPr>
          <w:rFonts w:ascii="Times New Roman" w:eastAsia="方正楷体_GBK" w:hAnsi="Times New Roman"/>
          <w:bCs/>
          <w:sz w:val="32"/>
          <w:szCs w:val="32"/>
        </w:rPr>
        <w:t>政府性基金预算</w:t>
      </w:r>
      <w:bookmarkEnd w:id="2"/>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政府性基金预算年初未安排本级收入，决算数为</w:t>
      </w:r>
      <w:r>
        <w:rPr>
          <w:rFonts w:ascii="Times New Roman" w:eastAsia="方正仿宋_GBK" w:hAnsi="Times New Roman" w:hint="eastAsia"/>
          <w:sz w:val="32"/>
        </w:rPr>
        <w:t>0.03</w:t>
      </w:r>
      <w:r>
        <w:rPr>
          <w:rFonts w:ascii="Times New Roman" w:eastAsia="方正仿宋_GBK" w:hAnsi="Times New Roman" w:hint="eastAsia"/>
          <w:sz w:val="32"/>
        </w:rPr>
        <w:t>亿元。加债务转贷收入</w:t>
      </w:r>
      <w:r>
        <w:rPr>
          <w:rFonts w:ascii="Times New Roman" w:eastAsia="方正仿宋_GBK" w:hAnsi="Times New Roman" w:hint="eastAsia"/>
          <w:sz w:val="32"/>
        </w:rPr>
        <w:t>127.6</w:t>
      </w:r>
      <w:r>
        <w:rPr>
          <w:rFonts w:ascii="Times New Roman" w:eastAsia="方正仿宋_GBK" w:hAnsi="Times New Roman" w:hint="eastAsia"/>
          <w:sz w:val="32"/>
        </w:rPr>
        <w:t>亿元、上年结转</w:t>
      </w:r>
      <w:r>
        <w:rPr>
          <w:rFonts w:ascii="Times New Roman" w:eastAsia="方正仿宋_GBK" w:hAnsi="Times New Roman" w:hint="eastAsia"/>
          <w:sz w:val="32"/>
        </w:rPr>
        <w:t>0.9</w:t>
      </w:r>
      <w:r>
        <w:rPr>
          <w:rFonts w:ascii="Times New Roman" w:eastAsia="方正仿宋_GBK" w:hAnsi="Times New Roman" w:hint="eastAsia"/>
          <w:sz w:val="32"/>
        </w:rPr>
        <w:t>亿元、上级补助</w:t>
      </w:r>
      <w:r>
        <w:rPr>
          <w:rFonts w:ascii="Times New Roman" w:eastAsia="方正仿宋_GBK" w:hAnsi="Times New Roman" w:hint="eastAsia"/>
          <w:sz w:val="32"/>
        </w:rPr>
        <w:t>106.4</w:t>
      </w:r>
      <w:r>
        <w:rPr>
          <w:rFonts w:ascii="Times New Roman" w:eastAsia="方正仿宋_GBK" w:hAnsi="Times New Roman" w:hint="eastAsia"/>
          <w:sz w:val="32"/>
        </w:rPr>
        <w:t>亿元，收入总量为</w:t>
      </w:r>
      <w:r>
        <w:rPr>
          <w:rFonts w:ascii="Times New Roman" w:eastAsia="方正仿宋_GBK" w:hAnsi="Times New Roman" w:hint="eastAsia"/>
          <w:sz w:val="32"/>
        </w:rPr>
        <w:t>235</w:t>
      </w:r>
      <w:r>
        <w:rPr>
          <w:rFonts w:ascii="Times New Roman" w:eastAsia="方正仿宋_GBK" w:hAnsi="Times New Roman" w:hint="eastAsia"/>
          <w:sz w:val="32"/>
        </w:rPr>
        <w:t>亿元。</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政府性基金预算本级支出年初预算为</w:t>
      </w:r>
      <w:r>
        <w:rPr>
          <w:rFonts w:ascii="Times New Roman" w:eastAsia="方正仿宋_GBK" w:hAnsi="Times New Roman" w:hint="eastAsia"/>
          <w:sz w:val="32"/>
        </w:rPr>
        <w:t>56</w:t>
      </w:r>
      <w:r>
        <w:rPr>
          <w:rFonts w:ascii="Times New Roman" w:eastAsia="方正仿宋_GBK" w:hAnsi="Times New Roman" w:hint="eastAsia"/>
          <w:sz w:val="32"/>
        </w:rPr>
        <w:t>亿元，调整预算数为</w:t>
      </w:r>
      <w:r>
        <w:rPr>
          <w:rFonts w:ascii="Times New Roman" w:eastAsia="方正仿宋_GBK" w:hAnsi="Times New Roman" w:hint="eastAsia"/>
          <w:sz w:val="32"/>
        </w:rPr>
        <w:t>145.1</w:t>
      </w:r>
      <w:r>
        <w:rPr>
          <w:rFonts w:ascii="Times New Roman" w:eastAsia="方正仿宋_GBK" w:hAnsi="Times New Roman" w:hint="eastAsia"/>
          <w:sz w:val="32"/>
        </w:rPr>
        <w:t>亿元，决算数为</w:t>
      </w:r>
      <w:r>
        <w:rPr>
          <w:rFonts w:ascii="Times New Roman" w:eastAsia="方正仿宋_GBK" w:hAnsi="Times New Roman" w:hint="eastAsia"/>
          <w:sz w:val="32"/>
        </w:rPr>
        <w:t>155.3</w:t>
      </w:r>
      <w:r>
        <w:rPr>
          <w:rFonts w:ascii="Times New Roman" w:eastAsia="方正仿宋_GBK" w:hAnsi="Times New Roman" w:hint="eastAsia"/>
          <w:sz w:val="32"/>
        </w:rPr>
        <w:t>亿元，为调整预算的</w:t>
      </w:r>
      <w:r>
        <w:rPr>
          <w:rFonts w:ascii="Times New Roman" w:eastAsia="方正仿宋_GBK" w:hAnsi="Times New Roman" w:hint="eastAsia"/>
          <w:sz w:val="32"/>
        </w:rPr>
        <w:t>107%</w:t>
      </w:r>
      <w:r>
        <w:rPr>
          <w:rFonts w:ascii="Times New Roman" w:eastAsia="方正仿宋_GBK" w:hAnsi="Times New Roman" w:hint="eastAsia"/>
          <w:sz w:val="32"/>
        </w:rPr>
        <w:t>。本级支出加上解上级</w:t>
      </w:r>
      <w:r>
        <w:rPr>
          <w:rFonts w:ascii="Times New Roman" w:eastAsia="方正仿宋_GBK" w:hAnsi="Times New Roman" w:hint="eastAsia"/>
          <w:sz w:val="32"/>
        </w:rPr>
        <w:t>0.1</w:t>
      </w:r>
      <w:r>
        <w:rPr>
          <w:rFonts w:ascii="Times New Roman" w:eastAsia="方正仿宋_GBK" w:hAnsi="Times New Roman" w:hint="eastAsia"/>
          <w:sz w:val="32"/>
        </w:rPr>
        <w:t>亿元、调出资金</w:t>
      </w:r>
      <w:r>
        <w:rPr>
          <w:rFonts w:ascii="Times New Roman" w:eastAsia="方正仿宋_GBK" w:hAnsi="Times New Roman" w:hint="eastAsia"/>
          <w:sz w:val="32"/>
        </w:rPr>
        <w:t>40.2</w:t>
      </w:r>
      <w:r>
        <w:rPr>
          <w:rFonts w:ascii="Times New Roman" w:eastAsia="方正仿宋_GBK" w:hAnsi="Times New Roman" w:hint="eastAsia"/>
          <w:sz w:val="32"/>
        </w:rPr>
        <w:t>亿元、结转下年</w:t>
      </w:r>
      <w:r>
        <w:rPr>
          <w:rFonts w:ascii="Times New Roman" w:eastAsia="方正仿宋_GBK" w:hAnsi="Times New Roman" w:hint="eastAsia"/>
          <w:sz w:val="32"/>
        </w:rPr>
        <w:t>3.9</w:t>
      </w:r>
      <w:r>
        <w:rPr>
          <w:rFonts w:ascii="Times New Roman" w:eastAsia="方正仿宋_GBK" w:hAnsi="Times New Roman" w:hint="eastAsia"/>
          <w:sz w:val="32"/>
        </w:rPr>
        <w:t>亿元、债务还本</w:t>
      </w:r>
      <w:r>
        <w:rPr>
          <w:rFonts w:ascii="Times New Roman" w:eastAsia="方正仿宋_GBK" w:hAnsi="Times New Roman" w:hint="eastAsia"/>
          <w:sz w:val="32"/>
        </w:rPr>
        <w:t>35.5</w:t>
      </w:r>
      <w:r>
        <w:rPr>
          <w:rFonts w:ascii="Times New Roman" w:eastAsia="方正仿宋_GBK" w:hAnsi="Times New Roman" w:hint="eastAsia"/>
          <w:sz w:val="32"/>
        </w:rPr>
        <w:t>亿元，支出总量为</w:t>
      </w:r>
      <w:r>
        <w:rPr>
          <w:rFonts w:ascii="Times New Roman" w:eastAsia="方正仿宋_GBK" w:hAnsi="Times New Roman" w:hint="eastAsia"/>
          <w:sz w:val="32"/>
        </w:rPr>
        <w:t>235</w:t>
      </w:r>
      <w:r>
        <w:rPr>
          <w:rFonts w:ascii="Times New Roman" w:eastAsia="方正仿宋_GBK" w:hAnsi="Times New Roman" w:hint="eastAsia"/>
          <w:sz w:val="32"/>
        </w:rPr>
        <w:t>亿元。</w:t>
      </w:r>
    </w:p>
    <w:p w:rsidR="00BF0D98" w:rsidRDefault="00000000">
      <w:pPr>
        <w:keepNext/>
        <w:keepLines/>
        <w:spacing w:line="600" w:lineRule="exact"/>
        <w:ind w:firstLineChars="200" w:firstLine="640"/>
        <w:jc w:val="left"/>
        <w:outlineLvl w:val="1"/>
        <w:rPr>
          <w:rFonts w:ascii="Times New Roman" w:eastAsia="方正楷体_GBK" w:hAnsi="Times New Roman"/>
          <w:bCs/>
          <w:sz w:val="32"/>
          <w:szCs w:val="32"/>
        </w:rPr>
      </w:pPr>
      <w:r>
        <w:rPr>
          <w:rFonts w:ascii="Times New Roman" w:eastAsia="方正楷体_GBK" w:hAnsi="Times New Roman"/>
          <w:bCs/>
          <w:sz w:val="32"/>
          <w:szCs w:val="32"/>
        </w:rPr>
        <w:t>（三）</w:t>
      </w:r>
      <w:bookmarkStart w:id="3" w:name="_Hlk190973037"/>
      <w:r>
        <w:rPr>
          <w:rFonts w:ascii="Times New Roman" w:eastAsia="方正楷体_GBK" w:hAnsi="Times New Roman"/>
          <w:bCs/>
          <w:sz w:val="32"/>
          <w:szCs w:val="32"/>
        </w:rPr>
        <w:t>国有资本经营预算</w:t>
      </w:r>
    </w:p>
    <w:bookmarkEnd w:id="3"/>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国有资本经营预算本级收入未安排年初预算，调整预算数为</w:t>
      </w:r>
      <w:r>
        <w:rPr>
          <w:rFonts w:ascii="Times New Roman" w:eastAsia="方正仿宋_GBK" w:hAnsi="Times New Roman" w:hint="eastAsia"/>
          <w:sz w:val="32"/>
        </w:rPr>
        <w:t>0.8</w:t>
      </w:r>
      <w:r>
        <w:rPr>
          <w:rFonts w:ascii="Times New Roman" w:eastAsia="方正仿宋_GBK" w:hAnsi="Times New Roman" w:hint="eastAsia"/>
          <w:sz w:val="32"/>
        </w:rPr>
        <w:t>亿元，决算数为</w:t>
      </w:r>
      <w:r>
        <w:rPr>
          <w:rFonts w:ascii="Times New Roman" w:eastAsia="方正仿宋_GBK" w:hAnsi="Times New Roman" w:hint="eastAsia"/>
          <w:sz w:val="32"/>
        </w:rPr>
        <w:t>0.9</w:t>
      </w:r>
      <w:r>
        <w:rPr>
          <w:rFonts w:ascii="Times New Roman" w:eastAsia="方正仿宋_GBK" w:hAnsi="Times New Roman" w:hint="eastAsia"/>
          <w:sz w:val="32"/>
        </w:rPr>
        <w:t>亿元，为调整预算的</w:t>
      </w:r>
      <w:r>
        <w:rPr>
          <w:rFonts w:ascii="Times New Roman" w:eastAsia="方正仿宋_GBK" w:hAnsi="Times New Roman" w:hint="eastAsia"/>
          <w:sz w:val="32"/>
        </w:rPr>
        <w:t>101.7%</w:t>
      </w:r>
      <w:r>
        <w:rPr>
          <w:rFonts w:ascii="Times New Roman" w:eastAsia="方正仿宋_GBK" w:hAnsi="Times New Roman" w:hint="eastAsia"/>
          <w:sz w:val="32"/>
        </w:rPr>
        <w:t>，同比下降</w:t>
      </w:r>
      <w:r>
        <w:rPr>
          <w:rFonts w:ascii="Times New Roman" w:eastAsia="方正仿宋_GBK" w:hAnsi="Times New Roman" w:hint="eastAsia"/>
          <w:sz w:val="32"/>
        </w:rPr>
        <w:t>34.3%</w:t>
      </w:r>
      <w:r>
        <w:rPr>
          <w:rFonts w:ascii="Times New Roman" w:eastAsia="方正仿宋_GBK" w:hAnsi="Times New Roman" w:hint="eastAsia"/>
          <w:sz w:val="32"/>
        </w:rPr>
        <w:t>。本级收入加上级补助，收入总量为</w:t>
      </w:r>
      <w:r>
        <w:rPr>
          <w:rFonts w:ascii="Times New Roman" w:eastAsia="方正仿宋_GBK" w:hAnsi="Times New Roman" w:hint="eastAsia"/>
          <w:sz w:val="32"/>
        </w:rPr>
        <w:t>0.9</w:t>
      </w:r>
      <w:r>
        <w:rPr>
          <w:rFonts w:ascii="Times New Roman" w:eastAsia="方正仿宋_GBK" w:hAnsi="Times New Roman" w:hint="eastAsia"/>
          <w:sz w:val="32"/>
        </w:rPr>
        <w:t>亿元。</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国有资本经营预算本级支出年初预算为</w:t>
      </w:r>
      <w:r>
        <w:rPr>
          <w:rFonts w:ascii="Times New Roman" w:eastAsia="方正仿宋_GBK" w:hAnsi="Times New Roman" w:hint="eastAsia"/>
          <w:sz w:val="32"/>
        </w:rPr>
        <w:t>4</w:t>
      </w:r>
      <w:r>
        <w:rPr>
          <w:rFonts w:ascii="Times New Roman" w:eastAsia="方正仿宋_GBK" w:hAnsi="Times New Roman" w:hint="eastAsia"/>
          <w:sz w:val="32"/>
        </w:rPr>
        <w:t>万元，调整预算数为</w:t>
      </w:r>
      <w:r>
        <w:rPr>
          <w:rFonts w:ascii="Times New Roman" w:eastAsia="方正仿宋_GBK" w:hAnsi="Times New Roman" w:hint="eastAsia"/>
          <w:sz w:val="32"/>
        </w:rPr>
        <w:t>4</w:t>
      </w:r>
      <w:r>
        <w:rPr>
          <w:rFonts w:ascii="Times New Roman" w:eastAsia="方正仿宋_GBK" w:hAnsi="Times New Roman" w:hint="eastAsia"/>
          <w:sz w:val="32"/>
        </w:rPr>
        <w:t>万元，决算数为</w:t>
      </w:r>
      <w:r>
        <w:rPr>
          <w:rFonts w:ascii="Times New Roman" w:eastAsia="方正仿宋_GBK" w:hAnsi="Times New Roman" w:hint="eastAsia"/>
          <w:sz w:val="32"/>
        </w:rPr>
        <w:t>0</w:t>
      </w:r>
      <w:r>
        <w:rPr>
          <w:rFonts w:ascii="Times New Roman" w:eastAsia="方正仿宋_GBK" w:hAnsi="Times New Roman" w:hint="eastAsia"/>
          <w:sz w:val="32"/>
        </w:rPr>
        <w:t>万元。本级支出加调出资金，支出总量为</w:t>
      </w:r>
      <w:r>
        <w:rPr>
          <w:rFonts w:ascii="Times New Roman" w:eastAsia="方正仿宋_GBK" w:hAnsi="Times New Roman" w:hint="eastAsia"/>
          <w:sz w:val="32"/>
        </w:rPr>
        <w:t>0.9</w:t>
      </w:r>
      <w:r>
        <w:rPr>
          <w:rFonts w:ascii="Times New Roman" w:eastAsia="方正仿宋_GBK" w:hAnsi="Times New Roman" w:hint="eastAsia"/>
          <w:sz w:val="32"/>
        </w:rPr>
        <w:t>亿元。</w:t>
      </w:r>
    </w:p>
    <w:p w:rsidR="00BF0D98" w:rsidRDefault="00000000">
      <w:pPr>
        <w:spacing w:line="600" w:lineRule="exact"/>
        <w:ind w:firstLineChars="200" w:firstLine="640"/>
        <w:rPr>
          <w:rFonts w:ascii="方正黑体_GBK" w:eastAsia="方正黑体_GBK" w:hAnsi="Times New Roman"/>
          <w:sz w:val="32"/>
        </w:rPr>
      </w:pPr>
      <w:r>
        <w:rPr>
          <w:rFonts w:ascii="方正黑体_GBK" w:eastAsia="方正黑体_GBK" w:hAnsi="Times New Roman" w:hint="eastAsia"/>
          <w:sz w:val="32"/>
        </w:rPr>
        <w:t>二、重点报告事项</w:t>
      </w:r>
    </w:p>
    <w:p w:rsidR="00BF0D98" w:rsidRDefault="00000000">
      <w:pPr>
        <w:keepNext/>
        <w:keepLines/>
        <w:spacing w:line="600" w:lineRule="exact"/>
        <w:ind w:firstLineChars="200" w:firstLine="640"/>
        <w:jc w:val="left"/>
        <w:outlineLvl w:val="1"/>
        <w:rPr>
          <w:rFonts w:ascii="Times New Roman" w:eastAsia="方正楷体_GBK" w:hAnsi="Times New Roman"/>
          <w:bCs/>
          <w:sz w:val="32"/>
          <w:szCs w:val="32"/>
        </w:rPr>
      </w:pPr>
      <w:r>
        <w:rPr>
          <w:rFonts w:ascii="Times New Roman" w:eastAsia="方正楷体_GBK" w:hAnsi="Times New Roman"/>
          <w:bCs/>
          <w:sz w:val="32"/>
          <w:szCs w:val="32"/>
        </w:rPr>
        <w:lastRenderedPageBreak/>
        <w:t>（</w:t>
      </w:r>
      <w:r>
        <w:rPr>
          <w:rFonts w:ascii="Times New Roman" w:eastAsia="方正楷体_GBK" w:hAnsi="Times New Roman" w:hint="eastAsia"/>
          <w:bCs/>
          <w:sz w:val="32"/>
          <w:szCs w:val="32"/>
        </w:rPr>
        <w:t>一</w:t>
      </w:r>
      <w:r>
        <w:rPr>
          <w:rFonts w:ascii="Times New Roman" w:eastAsia="方正楷体_GBK" w:hAnsi="Times New Roman"/>
          <w:bCs/>
          <w:sz w:val="32"/>
          <w:szCs w:val="32"/>
        </w:rPr>
        <w:t>）</w:t>
      </w:r>
      <w:r>
        <w:rPr>
          <w:rFonts w:ascii="Times New Roman" w:eastAsia="方正楷体_GBK" w:hAnsi="Times New Roman" w:hint="eastAsia"/>
          <w:bCs/>
          <w:sz w:val="32"/>
          <w:szCs w:val="32"/>
        </w:rPr>
        <w:t>落实人大备案审查意见和财政工作情况</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在市委市政府坚强领导下，在市人大的监督指导下，西部科学城重庆高新区深化落实科技创新和人才强市首位战略、数字重庆等现代化新重庆建设系列部署，狠抓科技创新增效赋能、产业发展转型提质、城市品质优化提升、改革开放攻坚突破等重点工作，科学城建设迈上新台阶、展现新气象。</w:t>
      </w:r>
    </w:p>
    <w:p w:rsidR="00BF0D98" w:rsidRDefault="00000000">
      <w:pPr>
        <w:spacing w:line="600" w:lineRule="exact"/>
        <w:ind w:firstLineChars="200" w:firstLine="643"/>
        <w:rPr>
          <w:rFonts w:ascii="Times New Roman" w:eastAsia="方正仿宋_GBK" w:hAnsi="Times New Roman"/>
          <w:sz w:val="32"/>
        </w:rPr>
      </w:pPr>
      <w:r>
        <w:rPr>
          <w:rFonts w:ascii="Times New Roman" w:eastAsia="方正仿宋_GBK" w:hAnsi="Times New Roman" w:hint="eastAsia"/>
          <w:b/>
          <w:sz w:val="32"/>
        </w:rPr>
        <w:t>1.</w:t>
      </w:r>
      <w:r>
        <w:rPr>
          <w:rFonts w:ascii="Times New Roman" w:eastAsia="方正仿宋_GBK" w:hAnsi="Times New Roman" w:hint="eastAsia"/>
          <w:b/>
          <w:sz w:val="32"/>
        </w:rPr>
        <w:t>全面落实积极财政政策，有力支撑经济高质量发展。</w:t>
      </w:r>
      <w:r>
        <w:rPr>
          <w:rFonts w:ascii="Times New Roman" w:eastAsia="方正仿宋_GBK" w:hAnsi="Times New Roman" w:hint="eastAsia"/>
          <w:sz w:val="32"/>
        </w:rPr>
        <w:t>打好政策资金“组合拳”，全面落实积极的财政政策，着力推动经济平稳运行。支持扩投资、稳增长，支持推动对标国家战略腹地建设、现代化新重庆“六个区”打造等重大部署和“两新两重”等重大政策。加快构建现代化产业体系。支持制造业高质量发展，用好大规模设备更新政策，方正高密等</w:t>
      </w:r>
      <w:r>
        <w:rPr>
          <w:rFonts w:ascii="Times New Roman" w:eastAsia="方正仿宋_GBK" w:hAnsi="Times New Roman" w:hint="eastAsia"/>
          <w:sz w:val="32"/>
        </w:rPr>
        <w:t>13</w:t>
      </w:r>
      <w:r>
        <w:rPr>
          <w:rFonts w:ascii="Times New Roman" w:eastAsia="方正仿宋_GBK" w:hAnsi="Times New Roman" w:hint="eastAsia"/>
          <w:sz w:val="32"/>
        </w:rPr>
        <w:t>个技改项目成功入库技改专项贷线上平台。加快培育壮大新兴产业，国电投重庆创新医用同位素等</w:t>
      </w:r>
      <w:r>
        <w:rPr>
          <w:rFonts w:ascii="Times New Roman" w:eastAsia="方正仿宋_GBK" w:hAnsi="Times New Roman" w:hint="eastAsia"/>
          <w:sz w:val="32"/>
        </w:rPr>
        <w:t>14</w:t>
      </w:r>
      <w:r>
        <w:rPr>
          <w:rFonts w:ascii="Times New Roman" w:eastAsia="方正仿宋_GBK" w:hAnsi="Times New Roman" w:hint="eastAsia"/>
          <w:sz w:val="32"/>
        </w:rPr>
        <w:t>个产业项目开工，智能网联示范区项目一期等</w:t>
      </w:r>
      <w:r>
        <w:rPr>
          <w:rFonts w:ascii="Times New Roman" w:eastAsia="方正仿宋_GBK" w:hAnsi="Times New Roman" w:hint="eastAsia"/>
          <w:sz w:val="32"/>
        </w:rPr>
        <w:t>22</w:t>
      </w:r>
      <w:r>
        <w:rPr>
          <w:rFonts w:ascii="Times New Roman" w:eastAsia="方正仿宋_GBK" w:hAnsi="Times New Roman" w:hint="eastAsia"/>
          <w:sz w:val="32"/>
        </w:rPr>
        <w:t>个项目投用，华润微电子等重点企业投产项目爬坡上量。着力挖掘释放消费潜能，用好“消费品以旧换新”等政策，开展“爱尚重庆·惠聚高新”金秋消费季等活动。</w:t>
      </w:r>
    </w:p>
    <w:p w:rsidR="00951030" w:rsidRDefault="00000000">
      <w:pPr>
        <w:spacing w:line="600" w:lineRule="exact"/>
        <w:ind w:firstLineChars="200" w:firstLine="643"/>
        <w:rPr>
          <w:rFonts w:ascii="Times New Roman" w:eastAsia="方正仿宋_GBK" w:hAnsi="Times New Roman"/>
          <w:sz w:val="32"/>
        </w:rPr>
      </w:pPr>
      <w:r>
        <w:rPr>
          <w:rFonts w:ascii="Times New Roman" w:eastAsia="方正仿宋_GBK" w:hAnsi="Times New Roman" w:hint="eastAsia"/>
          <w:b/>
          <w:sz w:val="32"/>
        </w:rPr>
        <w:t>2.</w:t>
      </w:r>
      <w:r>
        <w:rPr>
          <w:rFonts w:ascii="Times New Roman" w:eastAsia="方正仿宋_GBK" w:hAnsi="Times New Roman" w:hint="eastAsia"/>
          <w:b/>
          <w:sz w:val="32"/>
        </w:rPr>
        <w:t>大力支持科技创新增势赋能，加快发展新质生产力。</w:t>
      </w:r>
      <w:r>
        <w:rPr>
          <w:rFonts w:ascii="Times New Roman" w:eastAsia="方正仿宋_GBK" w:hAnsi="Times New Roman" w:hint="eastAsia"/>
          <w:sz w:val="32"/>
        </w:rPr>
        <w:t>全年科学技术支出达</w:t>
      </w:r>
      <w:r>
        <w:rPr>
          <w:rFonts w:ascii="Times New Roman" w:eastAsia="方正仿宋_GBK" w:hAnsi="Times New Roman" w:hint="eastAsia"/>
          <w:sz w:val="32"/>
        </w:rPr>
        <w:t>23.6</w:t>
      </w:r>
      <w:r>
        <w:rPr>
          <w:rFonts w:ascii="Times New Roman" w:eastAsia="方正仿宋_GBK" w:hAnsi="Times New Roman" w:hint="eastAsia"/>
          <w:sz w:val="32"/>
        </w:rPr>
        <w:t>亿元，支持推动科技创新。深化“大学城”和“科学城”融合发展，聚焦构建以国家实验室为引领、重大科技基础设施为骨干的创新平台体系，签约落地重庆大学智谷校区、</w:t>
      </w:r>
      <w:r>
        <w:rPr>
          <w:rFonts w:ascii="Times New Roman" w:eastAsia="方正仿宋_GBK" w:hAnsi="Times New Roman" w:hint="eastAsia"/>
          <w:sz w:val="32"/>
        </w:rPr>
        <w:lastRenderedPageBreak/>
        <w:t>重庆科技大学智慧创新中心、重庆医科大学智慧检验与数字医疗技术创新中心等校地合作项目，金凤实验室挂牌首个重庆实验室，嘉陵江实验室通过重庆实验室建设市区联合论证，工信部火炬中心西南分中心加快落地，国家健康战略资源中心（筹）正式投运。建成投用国际人才创新创业服务港。持续优化创新生态，成立全国首个校地共建概念验证中心，建设“四支队伍”构建人才创业陪跑支持体系入选</w:t>
      </w:r>
      <w:r>
        <w:rPr>
          <w:rFonts w:ascii="Times New Roman" w:eastAsia="方正仿宋_GBK" w:hAnsi="Times New Roman" w:hint="eastAsia"/>
          <w:sz w:val="32"/>
        </w:rPr>
        <w:t>2024</w:t>
      </w:r>
      <w:r>
        <w:rPr>
          <w:rFonts w:ascii="Times New Roman" w:eastAsia="方正仿宋_GBK" w:hAnsi="Times New Roman" w:hint="eastAsia"/>
          <w:sz w:val="32"/>
        </w:rPr>
        <w:t>中国改革年度案例、</w:t>
      </w:r>
      <w:r>
        <w:rPr>
          <w:rFonts w:ascii="Times New Roman" w:eastAsia="方正仿宋_GBK" w:hAnsi="Times New Roman" w:hint="eastAsia"/>
          <w:sz w:val="32"/>
        </w:rPr>
        <w:t>2024</w:t>
      </w:r>
      <w:r>
        <w:rPr>
          <w:rFonts w:ascii="Times New Roman" w:eastAsia="方正仿宋_GBK" w:hAnsi="Times New Roman" w:hint="eastAsia"/>
          <w:sz w:val="32"/>
        </w:rPr>
        <w:t>年全市第三批基层改革典型案例。</w:t>
      </w:r>
    </w:p>
    <w:p w:rsidR="00BF0D98" w:rsidRDefault="00000000">
      <w:pPr>
        <w:spacing w:line="600" w:lineRule="exact"/>
        <w:ind w:firstLineChars="200" w:firstLine="643"/>
        <w:rPr>
          <w:rFonts w:ascii="Times New Roman" w:eastAsia="方正仿宋_GBK" w:hAnsi="Times New Roman"/>
          <w:sz w:val="32"/>
        </w:rPr>
      </w:pPr>
      <w:r>
        <w:rPr>
          <w:rFonts w:ascii="Times New Roman" w:eastAsia="方正仿宋_GBK" w:hAnsi="Times New Roman" w:hint="eastAsia"/>
          <w:b/>
          <w:sz w:val="32"/>
        </w:rPr>
        <w:t>3.</w:t>
      </w:r>
      <w:r>
        <w:rPr>
          <w:rFonts w:ascii="Times New Roman" w:eastAsia="方正仿宋_GBK" w:hAnsi="Times New Roman" w:hint="eastAsia"/>
          <w:b/>
          <w:sz w:val="32"/>
        </w:rPr>
        <w:t>着力保障和改善民生，持续提升人民生活品质。</w:t>
      </w:r>
      <w:r>
        <w:rPr>
          <w:rFonts w:ascii="Times New Roman" w:eastAsia="方正仿宋_GBK" w:hAnsi="Times New Roman" w:hint="eastAsia"/>
          <w:sz w:val="32"/>
        </w:rPr>
        <w:t>落实就业优先政策。用好就业补贴、稳岗返还等政策，着力拓宽市场化社会化就业岗位供给，建立职海扬帆大学生就创业服务站</w:t>
      </w:r>
      <w:r>
        <w:rPr>
          <w:rFonts w:ascii="Times New Roman" w:eastAsia="方正仿宋_GBK" w:hAnsi="Times New Roman" w:hint="eastAsia"/>
          <w:sz w:val="32"/>
        </w:rPr>
        <w:t>11</w:t>
      </w:r>
      <w:r>
        <w:rPr>
          <w:rFonts w:ascii="Times New Roman" w:eastAsia="方正仿宋_GBK" w:hAnsi="Times New Roman" w:hint="eastAsia"/>
          <w:sz w:val="32"/>
        </w:rPr>
        <w:t>个，帮扶农民工、退役军人等群体就业。深化打造“两城汇”品牌，加快建设世界大学生创新创业基地。提升优质公共服务供给能力。统筹本级财力、一般债券和超长期特别国债用于加快建设北师大重庆科学城实验学校等</w:t>
      </w:r>
      <w:r>
        <w:rPr>
          <w:rFonts w:ascii="Times New Roman" w:eastAsia="方正仿宋_GBK" w:hAnsi="Times New Roman" w:hint="eastAsia"/>
          <w:sz w:val="32"/>
        </w:rPr>
        <w:t>5</w:t>
      </w:r>
      <w:r>
        <w:rPr>
          <w:rFonts w:ascii="Times New Roman" w:eastAsia="方正仿宋_GBK" w:hAnsi="Times New Roman" w:hint="eastAsia"/>
          <w:sz w:val="32"/>
        </w:rPr>
        <w:t>所优质学校。扩大医疗资源供给，重庆大学附属肿瘤医院、市第四人民医院科学城院区提速建设，开创全市首个“老幼共托”社区，每千人口托位数全市第二、托育机构备案率全市第一。深入推进美丽重庆建设，生态环境持续改善。全面完成</w:t>
      </w:r>
      <w:r>
        <w:rPr>
          <w:rFonts w:ascii="Times New Roman" w:eastAsia="方正仿宋_GBK" w:hAnsi="Times New Roman" w:hint="eastAsia"/>
          <w:sz w:val="32"/>
        </w:rPr>
        <w:t>19</w:t>
      </w:r>
      <w:r>
        <w:rPr>
          <w:rFonts w:ascii="Times New Roman" w:eastAsia="方正仿宋_GBK" w:hAnsi="Times New Roman" w:hint="eastAsia"/>
          <w:sz w:val="32"/>
        </w:rPr>
        <w:t>处农村黑臭水体整治，城市绿地率增至</w:t>
      </w:r>
      <w:r>
        <w:rPr>
          <w:rFonts w:ascii="Times New Roman" w:eastAsia="方正仿宋_GBK" w:hAnsi="Times New Roman" w:hint="eastAsia"/>
          <w:sz w:val="32"/>
        </w:rPr>
        <w:t>36.9%</w:t>
      </w:r>
      <w:r>
        <w:rPr>
          <w:rFonts w:ascii="Times New Roman" w:eastAsia="方正仿宋_GBK" w:hAnsi="Times New Roman" w:hint="eastAsia"/>
          <w:sz w:val="32"/>
        </w:rPr>
        <w:t>、人均公园绿地面积增至</w:t>
      </w:r>
      <w:r>
        <w:rPr>
          <w:rFonts w:ascii="Times New Roman" w:eastAsia="方正仿宋_GBK" w:hAnsi="Times New Roman" w:hint="eastAsia"/>
          <w:sz w:val="32"/>
        </w:rPr>
        <w:t>8.11</w:t>
      </w:r>
      <w:r>
        <w:rPr>
          <w:rFonts w:ascii="Times New Roman" w:eastAsia="方正仿宋_GBK" w:hAnsi="Times New Roman" w:hint="eastAsia"/>
          <w:sz w:val="32"/>
        </w:rPr>
        <w:t>平方米</w:t>
      </w:r>
      <w:r>
        <w:rPr>
          <w:rFonts w:ascii="Times New Roman" w:eastAsia="方正仿宋_GBK" w:hAnsi="Times New Roman" w:hint="eastAsia"/>
          <w:sz w:val="32"/>
        </w:rPr>
        <w:t>/</w:t>
      </w:r>
      <w:r>
        <w:rPr>
          <w:rFonts w:ascii="Times New Roman" w:eastAsia="方正仿宋_GBK" w:hAnsi="Times New Roman" w:hint="eastAsia"/>
          <w:sz w:val="32"/>
        </w:rPr>
        <w:t>人，国控点空气质量优良天数同比增加</w:t>
      </w:r>
      <w:r>
        <w:rPr>
          <w:rFonts w:ascii="Times New Roman" w:eastAsia="方正仿宋_GBK" w:hAnsi="Times New Roman" w:hint="eastAsia"/>
          <w:sz w:val="32"/>
        </w:rPr>
        <w:t>11</w:t>
      </w:r>
      <w:r>
        <w:rPr>
          <w:rFonts w:ascii="Times New Roman" w:eastAsia="方正仿宋_GBK" w:hAnsi="Times New Roman" w:hint="eastAsia"/>
          <w:sz w:val="32"/>
        </w:rPr>
        <w:t>天，</w:t>
      </w:r>
      <w:r>
        <w:rPr>
          <w:rFonts w:ascii="Times New Roman" w:eastAsia="方正仿宋_GBK" w:hAnsi="Times New Roman" w:hint="eastAsia"/>
          <w:sz w:val="32"/>
        </w:rPr>
        <w:t>PM2.5</w:t>
      </w:r>
      <w:r>
        <w:rPr>
          <w:rFonts w:ascii="Times New Roman" w:eastAsia="方正仿宋_GBK" w:hAnsi="Times New Roman" w:hint="eastAsia"/>
          <w:sz w:val="32"/>
        </w:rPr>
        <w:t>平均浓度同比下降</w:t>
      </w:r>
      <w:r>
        <w:rPr>
          <w:rFonts w:ascii="Times New Roman" w:eastAsia="方正仿宋_GBK" w:hAnsi="Times New Roman" w:hint="eastAsia"/>
          <w:sz w:val="32"/>
        </w:rPr>
        <w:t>4</w:t>
      </w:r>
      <w:r>
        <w:rPr>
          <w:rFonts w:ascii="Times New Roman" w:eastAsia="方正仿宋_GBK" w:hAnsi="Times New Roman" w:hint="eastAsia"/>
          <w:sz w:val="32"/>
        </w:rPr>
        <w:t>μ</w:t>
      </w:r>
      <w:r>
        <w:rPr>
          <w:rFonts w:ascii="Times New Roman" w:eastAsia="方正仿宋_GBK" w:hAnsi="Times New Roman" w:hint="eastAsia"/>
          <w:sz w:val="32"/>
        </w:rPr>
        <w:t>g/m3</w:t>
      </w:r>
      <w:r>
        <w:rPr>
          <w:rFonts w:ascii="Times New Roman" w:eastAsia="方正仿宋_GBK" w:hAnsi="Times New Roman" w:hint="eastAsia"/>
          <w:sz w:val="32"/>
        </w:rPr>
        <w:t>。推动文体</w:t>
      </w:r>
      <w:r>
        <w:rPr>
          <w:rFonts w:ascii="Times New Roman" w:eastAsia="方正仿宋_GBK" w:hAnsi="Times New Roman" w:hint="eastAsia"/>
          <w:sz w:val="32"/>
        </w:rPr>
        <w:lastRenderedPageBreak/>
        <w:t>事业繁荣发展，支持傅抱石旧居等文旅项目加快推进，人均体育场地面积增至</w:t>
      </w:r>
      <w:r>
        <w:rPr>
          <w:rFonts w:ascii="Times New Roman" w:eastAsia="方正仿宋_GBK" w:hAnsi="Times New Roman" w:hint="eastAsia"/>
          <w:sz w:val="32"/>
        </w:rPr>
        <w:t>3.7</w:t>
      </w:r>
      <w:r>
        <w:rPr>
          <w:rFonts w:ascii="Times New Roman" w:eastAsia="方正仿宋_GBK" w:hAnsi="Times New Roman" w:hint="eastAsia"/>
          <w:sz w:val="32"/>
        </w:rPr>
        <w:t>平方米。扎实推进全面乡村振兴，投入</w:t>
      </w:r>
      <w:r>
        <w:rPr>
          <w:rFonts w:ascii="Times New Roman" w:eastAsia="方正仿宋_GBK" w:hAnsi="Times New Roman" w:hint="eastAsia"/>
          <w:sz w:val="32"/>
        </w:rPr>
        <w:t>1,400</w:t>
      </w:r>
      <w:r>
        <w:rPr>
          <w:rFonts w:ascii="Times New Roman" w:eastAsia="方正仿宋_GBK" w:hAnsi="Times New Roman" w:hint="eastAsia"/>
          <w:sz w:val="32"/>
        </w:rPr>
        <w:t>万元，支持曾家镇虎峰山村农饮水工程、巴福镇农村入户道路改造等基础设施改善提升。</w:t>
      </w:r>
    </w:p>
    <w:p w:rsidR="00BF0D98" w:rsidRDefault="00000000">
      <w:pPr>
        <w:spacing w:line="600" w:lineRule="exact"/>
        <w:ind w:firstLineChars="200" w:firstLine="643"/>
        <w:rPr>
          <w:rFonts w:ascii="Times New Roman" w:eastAsia="方正仿宋_GBK" w:hAnsi="Times New Roman"/>
          <w:sz w:val="32"/>
        </w:rPr>
      </w:pPr>
      <w:r>
        <w:rPr>
          <w:rFonts w:ascii="Times New Roman" w:eastAsia="方正仿宋_GBK" w:hAnsi="Times New Roman" w:hint="eastAsia"/>
          <w:b/>
          <w:sz w:val="32"/>
        </w:rPr>
        <w:t>4.</w:t>
      </w:r>
      <w:r>
        <w:rPr>
          <w:rFonts w:ascii="Times New Roman" w:eastAsia="方正仿宋_GBK" w:hAnsi="Times New Roman" w:hint="eastAsia"/>
          <w:b/>
          <w:sz w:val="32"/>
        </w:rPr>
        <w:t>深化财政管理改革，着力提升财政治理效能。</w:t>
      </w:r>
      <w:r>
        <w:rPr>
          <w:rFonts w:ascii="Times New Roman" w:eastAsia="方正仿宋_GBK" w:hAnsi="Times New Roman" w:hint="eastAsia"/>
          <w:sz w:val="32"/>
        </w:rPr>
        <w:t>深化预算管理制度改革，严格预算管理和执行，优化支出重点和结构，增强重大战略任务和财力保障。不折不扣落实“三攻坚一盘活”改革任务，产投集团组建方案获市政府正式批复，国企管理层级全部压为三级。全面完成政企分离改革任务，</w:t>
      </w:r>
      <w:r>
        <w:rPr>
          <w:rFonts w:ascii="Times New Roman" w:eastAsia="方正仿宋_GBK" w:hAnsi="Times New Roman" w:hint="eastAsia"/>
          <w:sz w:val="32"/>
        </w:rPr>
        <w:t>19</w:t>
      </w:r>
      <w:r>
        <w:rPr>
          <w:rFonts w:ascii="Times New Roman" w:eastAsia="方正仿宋_GBK" w:hAnsi="Times New Roman" w:hint="eastAsia"/>
          <w:sz w:val="32"/>
        </w:rPr>
        <w:t>户涉改企业全面“脱钩”，实现国有资产</w:t>
      </w:r>
      <w:r>
        <w:rPr>
          <w:rFonts w:ascii="Times New Roman" w:eastAsia="方正仿宋_GBK" w:hAnsi="Times New Roman" w:hint="eastAsia"/>
          <w:sz w:val="32"/>
        </w:rPr>
        <w:t>100%</w:t>
      </w:r>
      <w:r>
        <w:rPr>
          <w:rFonts w:ascii="Times New Roman" w:eastAsia="方正仿宋_GBK" w:hAnsi="Times New Roman" w:hint="eastAsia"/>
          <w:sz w:val="32"/>
        </w:rPr>
        <w:t>集中统一监管。加快推进全方位、全过程、全覆盖预算绩效管理体系建设，健全完善绩效评价结果与预算安排、监督检查挂钩机制，制定并实施了《重庆高新区</w:t>
      </w:r>
      <w:r>
        <w:rPr>
          <w:rFonts w:ascii="Times New Roman" w:eastAsia="方正仿宋_GBK" w:hAnsi="Times New Roman" w:hint="eastAsia"/>
          <w:sz w:val="32"/>
        </w:rPr>
        <w:t>2023</w:t>
      </w:r>
      <w:r>
        <w:rPr>
          <w:rFonts w:ascii="Times New Roman" w:eastAsia="方正仿宋_GBK" w:hAnsi="Times New Roman" w:hint="eastAsia"/>
          <w:sz w:val="32"/>
        </w:rPr>
        <w:t>年预算安排与监督检查和绩效评价结果挂钩实施方案》，真正实现“花钱必问效，无效必问责”。</w:t>
      </w:r>
    </w:p>
    <w:p w:rsidR="009A3D02" w:rsidRPr="009A3D02" w:rsidRDefault="009A3D02" w:rsidP="009A3D02">
      <w:pPr>
        <w:spacing w:line="600" w:lineRule="exact"/>
        <w:ind w:firstLineChars="200" w:firstLine="640"/>
        <w:rPr>
          <w:rFonts w:ascii="Times New Roman" w:eastAsia="方正仿宋_GBK" w:hAnsi="Times New Roman"/>
          <w:sz w:val="32"/>
        </w:rPr>
      </w:pPr>
      <w:r w:rsidRPr="009A3D02">
        <w:rPr>
          <w:rFonts w:ascii="Times New Roman" w:eastAsia="方正楷体_GBK" w:hAnsi="Times New Roman" w:hint="eastAsia"/>
          <w:bCs/>
          <w:color w:val="0D0D0D"/>
          <w:sz w:val="32"/>
          <w:szCs w:val="32"/>
        </w:rPr>
        <w:t>（二）中央直达资金使用情况</w:t>
      </w:r>
    </w:p>
    <w:p w:rsidR="009A3D02" w:rsidRPr="009A3D02" w:rsidRDefault="009A3D02" w:rsidP="009A3D02">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sz w:val="32"/>
        </w:rPr>
        <w:t>2024</w:t>
      </w:r>
      <w:r w:rsidRPr="009A3D02">
        <w:rPr>
          <w:rFonts w:ascii="Times New Roman" w:eastAsia="方正仿宋_GBK" w:hAnsi="Times New Roman"/>
          <w:sz w:val="32"/>
        </w:rPr>
        <w:t>年西部科学城重庆高新区共收到上级下达直达资金</w:t>
      </w:r>
      <w:r w:rsidRPr="009A3D02">
        <w:rPr>
          <w:rFonts w:ascii="Times New Roman" w:eastAsia="方正仿宋_GBK" w:hAnsi="Times New Roman"/>
          <w:sz w:val="32"/>
        </w:rPr>
        <w:t>4.6</w:t>
      </w:r>
      <w:r w:rsidRPr="009A3D02">
        <w:rPr>
          <w:rFonts w:ascii="Times New Roman" w:eastAsia="方正仿宋_GBK" w:hAnsi="Times New Roman"/>
          <w:sz w:val="32"/>
        </w:rPr>
        <w:t>亿元，重点用于教育卫生、困难群众生活补助等民生支出，支持基层牢牢兜住</w:t>
      </w:r>
      <w:r w:rsidRPr="009A3D02">
        <w:rPr>
          <w:rFonts w:ascii="Times New Roman" w:eastAsia="方正仿宋_GBK" w:hAnsi="Times New Roman" w:hint="eastAsia"/>
          <w:sz w:val="32"/>
        </w:rPr>
        <w:t>“</w:t>
      </w:r>
      <w:r w:rsidRPr="009A3D02">
        <w:rPr>
          <w:rFonts w:ascii="Times New Roman" w:eastAsia="方正仿宋_GBK" w:hAnsi="Times New Roman"/>
          <w:sz w:val="32"/>
        </w:rPr>
        <w:t>三保</w:t>
      </w:r>
      <w:r w:rsidRPr="009A3D02">
        <w:rPr>
          <w:rFonts w:ascii="Times New Roman" w:eastAsia="方正仿宋_GBK" w:hAnsi="Times New Roman" w:hint="eastAsia"/>
          <w:sz w:val="32"/>
        </w:rPr>
        <w:t>”</w:t>
      </w:r>
      <w:r w:rsidRPr="009A3D02">
        <w:rPr>
          <w:rFonts w:ascii="Times New Roman" w:eastAsia="方正仿宋_GBK" w:hAnsi="Times New Roman"/>
          <w:sz w:val="32"/>
        </w:rPr>
        <w:t>底线和持续改善民生。</w:t>
      </w:r>
    </w:p>
    <w:p w:rsidR="00951030" w:rsidRPr="009A3D02" w:rsidRDefault="009A3D02" w:rsidP="00951030">
      <w:pPr>
        <w:spacing w:line="600" w:lineRule="exact"/>
        <w:ind w:firstLineChars="200" w:firstLine="640"/>
        <w:rPr>
          <w:rFonts w:ascii="Times New Roman" w:eastAsia="方正仿宋_GBK" w:hAnsi="Times New Roman"/>
          <w:sz w:val="32"/>
        </w:rPr>
      </w:pPr>
      <w:r w:rsidRPr="009A3D02">
        <w:rPr>
          <w:rFonts w:ascii="Times New Roman" w:eastAsia="方正楷体_GBK" w:hAnsi="Times New Roman" w:hint="eastAsia"/>
          <w:bCs/>
          <w:color w:val="0D0D0D"/>
          <w:sz w:val="32"/>
          <w:szCs w:val="32"/>
        </w:rPr>
        <w:t>（三）</w:t>
      </w:r>
      <w:r w:rsidR="00951030" w:rsidRPr="009A3D02">
        <w:rPr>
          <w:rFonts w:ascii="Times New Roman" w:eastAsia="方正楷体_GBK" w:hAnsi="Times New Roman" w:hint="eastAsia"/>
          <w:bCs/>
          <w:color w:val="0D0D0D"/>
          <w:sz w:val="32"/>
          <w:szCs w:val="32"/>
        </w:rPr>
        <w:t>上级补助情况</w:t>
      </w:r>
    </w:p>
    <w:p w:rsidR="009A3D02" w:rsidRPr="009A3D02" w:rsidRDefault="00951030" w:rsidP="009A3D02">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sz w:val="32"/>
        </w:rPr>
        <w:t>2024</w:t>
      </w:r>
      <w:r w:rsidRPr="009A3D02">
        <w:rPr>
          <w:rFonts w:ascii="Times New Roman" w:eastAsia="方正仿宋_GBK" w:hAnsi="Times New Roman"/>
          <w:sz w:val="32"/>
        </w:rPr>
        <w:t>年市财政共下达西部科学城重庆高新区上级补助资金</w:t>
      </w:r>
      <w:r w:rsidRPr="009A3D02">
        <w:rPr>
          <w:rFonts w:ascii="Times New Roman" w:eastAsia="方正仿宋_GBK" w:hAnsi="Times New Roman" w:hint="eastAsia"/>
          <w:sz w:val="32"/>
        </w:rPr>
        <w:t>65</w:t>
      </w:r>
      <w:r w:rsidRPr="009A3D02">
        <w:rPr>
          <w:rFonts w:ascii="Times New Roman" w:eastAsia="方正仿宋_GBK" w:hAnsi="Times New Roman"/>
          <w:sz w:val="32"/>
        </w:rPr>
        <w:t>亿元，其中，返还性补助</w:t>
      </w:r>
      <w:r w:rsidRPr="009A3D02">
        <w:rPr>
          <w:rFonts w:ascii="Times New Roman" w:eastAsia="方正仿宋_GBK" w:hAnsi="Times New Roman"/>
          <w:sz w:val="32"/>
        </w:rPr>
        <w:t>1.3</w:t>
      </w:r>
      <w:r w:rsidRPr="009A3D02">
        <w:rPr>
          <w:rFonts w:ascii="Times New Roman" w:eastAsia="方正仿宋_GBK" w:hAnsi="Times New Roman"/>
          <w:sz w:val="32"/>
        </w:rPr>
        <w:t>亿元</w:t>
      </w:r>
      <w:r w:rsidRPr="009A3D02">
        <w:rPr>
          <w:rFonts w:ascii="Times New Roman" w:eastAsia="方正仿宋_GBK" w:hAnsi="Times New Roman" w:hint="eastAsia"/>
          <w:sz w:val="32"/>
        </w:rPr>
        <w:t>，</w:t>
      </w:r>
      <w:r w:rsidRPr="009A3D02">
        <w:rPr>
          <w:rFonts w:ascii="Times New Roman" w:eastAsia="方正仿宋_GBK" w:hAnsi="Times New Roman"/>
          <w:sz w:val="32"/>
        </w:rPr>
        <w:t>一般性转移支付补助</w:t>
      </w:r>
      <w:r w:rsidRPr="009A3D02">
        <w:rPr>
          <w:rFonts w:ascii="Times New Roman" w:eastAsia="方正仿宋_GBK" w:hAnsi="Times New Roman" w:hint="eastAsia"/>
          <w:sz w:val="32"/>
        </w:rPr>
        <w:t>32.9</w:t>
      </w:r>
      <w:r w:rsidRPr="009A3D02">
        <w:rPr>
          <w:rFonts w:ascii="Times New Roman" w:eastAsia="方正仿宋_GBK" w:hAnsi="Times New Roman"/>
          <w:sz w:val="32"/>
        </w:rPr>
        <w:lastRenderedPageBreak/>
        <w:t>亿元</w:t>
      </w:r>
      <w:r w:rsidRPr="009A3D02">
        <w:rPr>
          <w:rFonts w:ascii="Times New Roman" w:eastAsia="方正仿宋_GBK" w:hAnsi="Times New Roman" w:hint="eastAsia"/>
          <w:sz w:val="32"/>
        </w:rPr>
        <w:t>，</w:t>
      </w:r>
      <w:r w:rsidRPr="009A3D02">
        <w:rPr>
          <w:rFonts w:ascii="Times New Roman" w:eastAsia="方正仿宋_GBK" w:hAnsi="Times New Roman"/>
          <w:sz w:val="32"/>
        </w:rPr>
        <w:t>专项转移补助</w:t>
      </w:r>
      <w:r w:rsidRPr="009A3D02">
        <w:rPr>
          <w:rFonts w:ascii="Times New Roman" w:eastAsia="方正仿宋_GBK" w:hAnsi="Times New Roman" w:hint="eastAsia"/>
          <w:sz w:val="32"/>
        </w:rPr>
        <w:t>30.8</w:t>
      </w:r>
      <w:r w:rsidRPr="009A3D02">
        <w:rPr>
          <w:rFonts w:ascii="Times New Roman" w:eastAsia="方正仿宋_GBK" w:hAnsi="Times New Roman"/>
          <w:sz w:val="32"/>
        </w:rPr>
        <w:t>亿元，</w:t>
      </w:r>
      <w:r w:rsidRPr="009A3D02">
        <w:rPr>
          <w:rFonts w:ascii="Times New Roman" w:eastAsia="方正仿宋_GBK" w:hAnsi="Times New Roman" w:hint="eastAsia"/>
          <w:sz w:val="32"/>
        </w:rPr>
        <w:t>主要是重点集成电路项目、高校科创载体建设等方面的补助资金有所增加，</w:t>
      </w:r>
      <w:r w:rsidRPr="009A3D02">
        <w:rPr>
          <w:rFonts w:ascii="Times New Roman" w:eastAsia="方正仿宋_GBK" w:hAnsi="Times New Roman"/>
          <w:sz w:val="32"/>
        </w:rPr>
        <w:t>重点用于支持科技创新发展、现代产业体系建设以及保障和改善民生。</w:t>
      </w:r>
    </w:p>
    <w:p w:rsidR="009A3D02" w:rsidRPr="009A3D02" w:rsidRDefault="009A3D02" w:rsidP="009A3D02">
      <w:pPr>
        <w:spacing w:line="600" w:lineRule="exact"/>
        <w:ind w:firstLineChars="200" w:firstLine="640"/>
        <w:rPr>
          <w:rFonts w:ascii="Times New Roman" w:eastAsia="方正仿宋_GBK" w:hAnsi="Times New Roman"/>
          <w:sz w:val="32"/>
        </w:rPr>
      </w:pPr>
      <w:r w:rsidRPr="009A3D02">
        <w:rPr>
          <w:rFonts w:ascii="Times New Roman" w:eastAsia="方正楷体_GBK" w:hAnsi="Times New Roman" w:hint="eastAsia"/>
          <w:bCs/>
          <w:color w:val="0D0D0D"/>
          <w:sz w:val="32"/>
          <w:szCs w:val="32"/>
        </w:rPr>
        <w:t>（四）</w:t>
      </w:r>
      <w:r w:rsidR="00951030" w:rsidRPr="009A3D02">
        <w:rPr>
          <w:rFonts w:ascii="方正楷体_GBK" w:eastAsia="方正楷体_GBK" w:hAnsi="Times New Roman" w:hint="eastAsia"/>
          <w:color w:val="0D0D0D"/>
          <w:sz w:val="32"/>
        </w:rPr>
        <w:t>“三公”经费支出及政府采购情况</w:t>
      </w:r>
    </w:p>
    <w:p w:rsidR="00951030" w:rsidRPr="009A3D02" w:rsidRDefault="00951030" w:rsidP="00951030">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hint="eastAsia"/>
          <w:sz w:val="32"/>
        </w:rPr>
        <w:t>2</w:t>
      </w:r>
      <w:r w:rsidRPr="009A3D02">
        <w:rPr>
          <w:rFonts w:ascii="Times New Roman" w:eastAsia="方正仿宋_GBK" w:hAnsi="Times New Roman"/>
          <w:sz w:val="32"/>
        </w:rPr>
        <w:t>024</w:t>
      </w:r>
      <w:r w:rsidRPr="009A3D02">
        <w:rPr>
          <w:rFonts w:ascii="Times New Roman" w:eastAsia="方正仿宋_GBK" w:hAnsi="Times New Roman" w:hint="eastAsia"/>
          <w:sz w:val="32"/>
        </w:rPr>
        <w:t>年，西部科学城重庆高新区“三公”经费支出合计</w:t>
      </w:r>
      <w:r w:rsidRPr="009A3D02">
        <w:rPr>
          <w:rFonts w:ascii="Times New Roman" w:eastAsia="方正仿宋_GBK" w:hAnsi="Times New Roman" w:hint="eastAsia"/>
          <w:sz w:val="32"/>
        </w:rPr>
        <w:t>8</w:t>
      </w:r>
      <w:r w:rsidRPr="009A3D02">
        <w:rPr>
          <w:rFonts w:ascii="Times New Roman" w:eastAsia="方正仿宋_GBK" w:hAnsi="Times New Roman"/>
          <w:sz w:val="32"/>
        </w:rPr>
        <w:t>01</w:t>
      </w:r>
      <w:r w:rsidRPr="009A3D02">
        <w:rPr>
          <w:rFonts w:ascii="Times New Roman" w:eastAsia="方正仿宋_GBK" w:hAnsi="Times New Roman" w:hint="eastAsia"/>
          <w:sz w:val="32"/>
        </w:rPr>
        <w:t>万元，较上年下降</w:t>
      </w:r>
      <w:r w:rsidRPr="009A3D02">
        <w:rPr>
          <w:rFonts w:ascii="Times New Roman" w:eastAsia="方正仿宋_GBK" w:hAnsi="Times New Roman" w:hint="eastAsia"/>
          <w:sz w:val="32"/>
        </w:rPr>
        <w:t>2</w:t>
      </w:r>
      <w:r w:rsidRPr="009A3D02">
        <w:rPr>
          <w:rFonts w:ascii="Times New Roman" w:eastAsia="方正仿宋_GBK" w:hAnsi="Times New Roman"/>
          <w:sz w:val="32"/>
        </w:rPr>
        <w:t>3.3%</w:t>
      </w:r>
      <w:r w:rsidRPr="009A3D02">
        <w:rPr>
          <w:rFonts w:ascii="Times New Roman" w:eastAsia="方正仿宋_GBK" w:hAnsi="Times New Roman" w:hint="eastAsia"/>
          <w:sz w:val="32"/>
        </w:rPr>
        <w:t>。其中，因公出国（境）费用</w:t>
      </w:r>
      <w:r w:rsidRPr="009A3D02">
        <w:rPr>
          <w:rFonts w:ascii="Times New Roman" w:eastAsia="方正仿宋_GBK" w:hAnsi="Times New Roman" w:hint="eastAsia"/>
          <w:sz w:val="32"/>
        </w:rPr>
        <w:t>2</w:t>
      </w:r>
      <w:r w:rsidRPr="009A3D02">
        <w:rPr>
          <w:rFonts w:ascii="Times New Roman" w:eastAsia="方正仿宋_GBK" w:hAnsi="Times New Roman"/>
          <w:sz w:val="32"/>
        </w:rPr>
        <w:t>6</w:t>
      </w:r>
      <w:r w:rsidRPr="009A3D02">
        <w:rPr>
          <w:rFonts w:ascii="Times New Roman" w:eastAsia="方正仿宋_GBK" w:hAnsi="Times New Roman" w:hint="eastAsia"/>
          <w:sz w:val="32"/>
        </w:rPr>
        <w:t>万元，较上年下降</w:t>
      </w:r>
      <w:r w:rsidRPr="009A3D02">
        <w:rPr>
          <w:rFonts w:ascii="Times New Roman" w:eastAsia="方正仿宋_GBK" w:hAnsi="Times New Roman" w:hint="eastAsia"/>
          <w:sz w:val="32"/>
        </w:rPr>
        <w:t>5</w:t>
      </w:r>
      <w:r w:rsidRPr="009A3D02">
        <w:rPr>
          <w:rFonts w:ascii="Times New Roman" w:eastAsia="方正仿宋_GBK" w:hAnsi="Times New Roman"/>
          <w:sz w:val="32"/>
        </w:rPr>
        <w:t>3.6%</w:t>
      </w:r>
      <w:r w:rsidRPr="009A3D02">
        <w:rPr>
          <w:rFonts w:ascii="Times New Roman" w:eastAsia="方正仿宋_GBK" w:hAnsi="Times New Roman" w:hint="eastAsia"/>
          <w:sz w:val="32"/>
        </w:rPr>
        <w:t>；公务接待费</w:t>
      </w:r>
      <w:r w:rsidRPr="009A3D02">
        <w:rPr>
          <w:rFonts w:ascii="Times New Roman" w:eastAsia="方正仿宋_GBK" w:hAnsi="Times New Roman" w:hint="eastAsia"/>
          <w:sz w:val="32"/>
        </w:rPr>
        <w:t>2</w:t>
      </w:r>
      <w:r w:rsidRPr="009A3D02">
        <w:rPr>
          <w:rFonts w:ascii="Times New Roman" w:eastAsia="方正仿宋_GBK" w:hAnsi="Times New Roman"/>
          <w:sz w:val="32"/>
        </w:rPr>
        <w:t>9</w:t>
      </w:r>
      <w:r w:rsidRPr="009A3D02">
        <w:rPr>
          <w:rFonts w:ascii="Times New Roman" w:eastAsia="方正仿宋_GBK" w:hAnsi="Times New Roman" w:hint="eastAsia"/>
          <w:sz w:val="32"/>
        </w:rPr>
        <w:t>万元，较上年下降</w:t>
      </w:r>
      <w:r w:rsidRPr="009A3D02">
        <w:rPr>
          <w:rFonts w:ascii="Times New Roman" w:eastAsia="方正仿宋_GBK" w:hAnsi="Times New Roman" w:hint="eastAsia"/>
          <w:sz w:val="32"/>
        </w:rPr>
        <w:t>3</w:t>
      </w:r>
      <w:r w:rsidRPr="009A3D02">
        <w:rPr>
          <w:rFonts w:ascii="Times New Roman" w:eastAsia="方正仿宋_GBK" w:hAnsi="Times New Roman"/>
          <w:sz w:val="32"/>
        </w:rPr>
        <w:t>4.1%</w:t>
      </w:r>
      <w:r w:rsidRPr="009A3D02">
        <w:rPr>
          <w:rFonts w:ascii="Times New Roman" w:eastAsia="方正仿宋_GBK" w:hAnsi="Times New Roman" w:hint="eastAsia"/>
          <w:sz w:val="32"/>
        </w:rPr>
        <w:t>；公务用车购置及运行维护费</w:t>
      </w:r>
      <w:r w:rsidRPr="009A3D02">
        <w:rPr>
          <w:rFonts w:ascii="Times New Roman" w:eastAsia="方正仿宋_GBK" w:hAnsi="Times New Roman" w:hint="eastAsia"/>
          <w:sz w:val="32"/>
        </w:rPr>
        <w:t>7</w:t>
      </w:r>
      <w:r w:rsidRPr="009A3D02">
        <w:rPr>
          <w:rFonts w:ascii="Times New Roman" w:eastAsia="方正仿宋_GBK" w:hAnsi="Times New Roman"/>
          <w:sz w:val="32"/>
        </w:rPr>
        <w:t>46</w:t>
      </w:r>
      <w:r w:rsidRPr="009A3D02">
        <w:rPr>
          <w:rFonts w:ascii="Times New Roman" w:eastAsia="方正仿宋_GBK" w:hAnsi="Times New Roman" w:hint="eastAsia"/>
          <w:sz w:val="32"/>
        </w:rPr>
        <w:t>万元，较上年下降</w:t>
      </w:r>
      <w:r w:rsidRPr="009A3D02">
        <w:rPr>
          <w:rFonts w:ascii="Times New Roman" w:eastAsia="方正仿宋_GBK" w:hAnsi="Times New Roman" w:hint="eastAsia"/>
          <w:sz w:val="32"/>
        </w:rPr>
        <w:t>2</w:t>
      </w:r>
      <w:r w:rsidRPr="009A3D02">
        <w:rPr>
          <w:rFonts w:ascii="Times New Roman" w:eastAsia="方正仿宋_GBK" w:hAnsi="Times New Roman"/>
          <w:sz w:val="32"/>
        </w:rPr>
        <w:t>1%</w:t>
      </w:r>
      <w:r w:rsidRPr="009A3D02">
        <w:rPr>
          <w:rFonts w:ascii="Times New Roman" w:eastAsia="方正仿宋_GBK" w:hAnsi="Times New Roman" w:hint="eastAsia"/>
          <w:sz w:val="32"/>
        </w:rPr>
        <w:t>。</w:t>
      </w:r>
    </w:p>
    <w:p w:rsidR="009A3D02" w:rsidRPr="009A3D02" w:rsidRDefault="00951030" w:rsidP="00951030">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年，政府采购金额</w:t>
      </w:r>
      <w:r w:rsidRPr="009A3D02">
        <w:rPr>
          <w:rFonts w:ascii="Times New Roman" w:eastAsia="方正仿宋_GBK" w:hAnsi="Times New Roman" w:hint="eastAsia"/>
          <w:sz w:val="32"/>
        </w:rPr>
        <w:t>5.8</w:t>
      </w:r>
      <w:r w:rsidRPr="009A3D02">
        <w:rPr>
          <w:rFonts w:ascii="Times New Roman" w:eastAsia="方正仿宋_GBK" w:hAnsi="Times New Roman" w:hint="eastAsia"/>
          <w:sz w:val="32"/>
        </w:rPr>
        <w:t>亿元，授予中小企业合同金额占</w:t>
      </w:r>
      <w:r w:rsidRPr="009A3D02">
        <w:rPr>
          <w:rFonts w:ascii="Times New Roman" w:eastAsia="方正仿宋_GBK" w:hAnsi="Times New Roman" w:hint="eastAsia"/>
          <w:sz w:val="32"/>
        </w:rPr>
        <w:t>62%</w:t>
      </w:r>
      <w:r w:rsidRPr="009A3D02">
        <w:rPr>
          <w:rFonts w:ascii="Times New Roman" w:eastAsia="方正仿宋_GBK" w:hAnsi="Times New Roman" w:hint="eastAsia"/>
          <w:sz w:val="32"/>
        </w:rPr>
        <w:t>；节能环保产品占同类产品采购规模的</w:t>
      </w:r>
      <w:r w:rsidRPr="009A3D02">
        <w:rPr>
          <w:rFonts w:ascii="Times New Roman" w:eastAsia="方正仿宋_GBK" w:hAnsi="Times New Roman" w:hint="eastAsia"/>
          <w:sz w:val="32"/>
        </w:rPr>
        <w:t>94%</w:t>
      </w:r>
      <w:r w:rsidRPr="009A3D02">
        <w:rPr>
          <w:rFonts w:ascii="Times New Roman" w:eastAsia="方正仿宋_GBK" w:hAnsi="Times New Roman" w:hint="eastAsia"/>
          <w:sz w:val="32"/>
        </w:rPr>
        <w:t>。通过预留采购份额、价格评审优惠、优先采购等措施，支持中小企业健康发展，着力激发市场主体活力，推动营商环境持续优化。</w:t>
      </w:r>
    </w:p>
    <w:p w:rsidR="009A3D02" w:rsidRPr="009A3D02" w:rsidRDefault="009A3D02" w:rsidP="009A3D02">
      <w:pPr>
        <w:spacing w:line="600" w:lineRule="exact"/>
        <w:ind w:firstLineChars="200" w:firstLine="640"/>
        <w:rPr>
          <w:rFonts w:ascii="Times New Roman" w:eastAsia="方正仿宋_GBK" w:hAnsi="Times New Roman"/>
          <w:sz w:val="32"/>
        </w:rPr>
      </w:pPr>
      <w:r w:rsidRPr="009A3D02">
        <w:rPr>
          <w:rFonts w:ascii="方正楷体_GBK" w:eastAsia="方正楷体_GBK" w:hAnsi="Times New Roman" w:hint="eastAsia"/>
          <w:color w:val="0D0D0D"/>
          <w:sz w:val="32"/>
        </w:rPr>
        <w:t>（五）</w:t>
      </w:r>
      <w:r w:rsidR="00951030" w:rsidRPr="009A3D02">
        <w:rPr>
          <w:rFonts w:ascii="方正楷体_GBK" w:eastAsia="方正楷体_GBK" w:hAnsi="Times New Roman" w:hint="eastAsia"/>
          <w:color w:val="0D0D0D"/>
          <w:sz w:val="32"/>
        </w:rPr>
        <w:t>预算稳定调节基金使用及安排情况</w:t>
      </w:r>
    </w:p>
    <w:p w:rsidR="00951030" w:rsidRPr="009A3D02" w:rsidRDefault="00951030" w:rsidP="00951030">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年初，预算稳定调节基金余额为</w:t>
      </w:r>
      <w:r w:rsidRPr="009A3D02">
        <w:rPr>
          <w:rFonts w:ascii="Times New Roman" w:eastAsia="方正仿宋_GBK" w:hAnsi="Times New Roman" w:hint="eastAsia"/>
          <w:sz w:val="32"/>
        </w:rPr>
        <w:t>4</w:t>
      </w:r>
      <w:r w:rsidRPr="009A3D02">
        <w:rPr>
          <w:rFonts w:ascii="Times New Roman" w:eastAsia="方正仿宋_GBK" w:hAnsi="Times New Roman" w:hint="eastAsia"/>
          <w:sz w:val="32"/>
        </w:rPr>
        <w:t>亿元，年初预算未安排动用。年度调整预算中，根据收入实际执行情况和支出需求，</w:t>
      </w:r>
      <w:bookmarkStart w:id="4" w:name="_Hlk209022520"/>
      <w:r w:rsidRPr="009A3D02">
        <w:rPr>
          <w:rFonts w:ascii="Times New Roman" w:eastAsia="方正仿宋_GBK" w:hAnsi="Times New Roman" w:hint="eastAsia"/>
          <w:sz w:val="32"/>
        </w:rPr>
        <w:t>动用</w:t>
      </w:r>
      <w:r w:rsidRPr="009A3D02">
        <w:rPr>
          <w:rFonts w:ascii="Times New Roman" w:eastAsia="方正仿宋_GBK" w:hAnsi="Times New Roman" w:hint="eastAsia"/>
          <w:sz w:val="32"/>
        </w:rPr>
        <w:t>4</w:t>
      </w:r>
      <w:r w:rsidRPr="009A3D02">
        <w:rPr>
          <w:rFonts w:ascii="Times New Roman" w:eastAsia="方正仿宋_GBK" w:hAnsi="Times New Roman" w:hint="eastAsia"/>
          <w:sz w:val="32"/>
        </w:rPr>
        <w:t>亿元用于弥补收入缺口和保障其他支出。</w:t>
      </w:r>
      <w:bookmarkEnd w:id="4"/>
    </w:p>
    <w:p w:rsidR="00951030" w:rsidRPr="009A3D02" w:rsidRDefault="00951030" w:rsidP="00951030">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年底，按规定将一般公共预算的超收收入以及一般公共预算和政府性基金预算结余资金、连续结转</w:t>
      </w:r>
      <w:r w:rsidRPr="009A3D02">
        <w:rPr>
          <w:rFonts w:ascii="Times New Roman" w:eastAsia="方正仿宋_GBK" w:hAnsi="Times New Roman" w:hint="eastAsia"/>
          <w:sz w:val="32"/>
        </w:rPr>
        <w:t>2</w:t>
      </w:r>
      <w:r w:rsidRPr="009A3D02">
        <w:rPr>
          <w:rFonts w:ascii="Times New Roman" w:eastAsia="方正仿宋_GBK" w:hAnsi="Times New Roman" w:hint="eastAsia"/>
          <w:sz w:val="32"/>
        </w:rPr>
        <w:t>年以上的上级补助资金用于补充预算稳定调节基金。</w:t>
      </w:r>
    </w:p>
    <w:p w:rsidR="009A3D02" w:rsidRPr="009A3D02" w:rsidRDefault="00951030" w:rsidP="00951030">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hint="eastAsia"/>
          <w:sz w:val="32"/>
        </w:rPr>
        <w:t>截至</w:t>
      </w: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年底，预算稳定调节基金余额为</w:t>
      </w:r>
      <w:r w:rsidRPr="009A3D02">
        <w:rPr>
          <w:rFonts w:ascii="Times New Roman" w:eastAsia="方正仿宋_GBK" w:hAnsi="Times New Roman" w:hint="eastAsia"/>
          <w:sz w:val="32"/>
        </w:rPr>
        <w:t>2.6</w:t>
      </w:r>
      <w:r w:rsidRPr="009A3D02">
        <w:rPr>
          <w:rFonts w:ascii="Times New Roman" w:eastAsia="方正仿宋_GBK" w:hAnsi="Times New Roman" w:hint="eastAsia"/>
          <w:sz w:val="32"/>
        </w:rPr>
        <w:t>亿元。</w:t>
      </w:r>
    </w:p>
    <w:p w:rsidR="009A3D02" w:rsidRPr="009A3D02" w:rsidRDefault="009A3D02" w:rsidP="009A3D02">
      <w:pPr>
        <w:spacing w:line="600" w:lineRule="exact"/>
        <w:ind w:firstLineChars="162" w:firstLine="518"/>
        <w:rPr>
          <w:rFonts w:ascii="Times New Roman" w:eastAsia="方正仿宋_GBK" w:hAnsi="Times New Roman"/>
          <w:sz w:val="32"/>
        </w:rPr>
      </w:pPr>
      <w:r w:rsidRPr="009A3D02">
        <w:rPr>
          <w:rFonts w:ascii="方正楷体_GBK" w:eastAsia="方正楷体_GBK" w:hAnsi="Times New Roman" w:hint="eastAsia"/>
          <w:color w:val="0D0D0D"/>
          <w:sz w:val="32"/>
        </w:rPr>
        <w:t>（六）</w:t>
      </w:r>
      <w:r w:rsidR="00951030" w:rsidRPr="009A3D02">
        <w:rPr>
          <w:rFonts w:ascii="方正楷体_GBK" w:eastAsia="方正楷体_GBK" w:hAnsi="Times New Roman" w:hint="eastAsia"/>
          <w:color w:val="0D0D0D"/>
          <w:sz w:val="32"/>
        </w:rPr>
        <w:t>预备费安排及使用情况</w:t>
      </w:r>
    </w:p>
    <w:p w:rsidR="009A3D02" w:rsidRPr="009A3D02" w:rsidRDefault="00951030" w:rsidP="009A3D02">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hint="eastAsia"/>
          <w:sz w:val="32"/>
        </w:rPr>
        <w:lastRenderedPageBreak/>
        <w:t>2024</w:t>
      </w:r>
      <w:r w:rsidRPr="009A3D02">
        <w:rPr>
          <w:rFonts w:ascii="Times New Roman" w:eastAsia="方正仿宋_GBK" w:hAnsi="Times New Roman" w:hint="eastAsia"/>
          <w:sz w:val="32"/>
        </w:rPr>
        <w:t>年年初预算安排预备费</w:t>
      </w:r>
      <w:r w:rsidRPr="009A3D02">
        <w:rPr>
          <w:rFonts w:ascii="Times New Roman" w:eastAsia="方正仿宋_GBK" w:hAnsi="Times New Roman" w:hint="eastAsia"/>
          <w:sz w:val="32"/>
        </w:rPr>
        <w:t>1</w:t>
      </w:r>
      <w:r w:rsidRPr="009A3D02">
        <w:rPr>
          <w:rFonts w:ascii="Times New Roman" w:eastAsia="方正仿宋_GBK" w:hAnsi="Times New Roman" w:hint="eastAsia"/>
          <w:sz w:val="32"/>
        </w:rPr>
        <w:t>亿元，当年安排</w:t>
      </w:r>
      <w:r w:rsidRPr="009A3D02">
        <w:rPr>
          <w:rFonts w:ascii="Times New Roman" w:eastAsia="方正仿宋_GBK" w:hAnsi="Times New Roman" w:hint="eastAsia"/>
          <w:sz w:val="32"/>
        </w:rPr>
        <w:t>250</w:t>
      </w:r>
      <w:r w:rsidRPr="009A3D02">
        <w:rPr>
          <w:rFonts w:ascii="Times New Roman" w:eastAsia="方正仿宋_GBK" w:hAnsi="Times New Roman" w:hint="eastAsia"/>
          <w:sz w:val="32"/>
        </w:rPr>
        <w:t>万元用于曾家镇幸福水库拆违除险，结余</w:t>
      </w:r>
      <w:r w:rsidRPr="009A3D02">
        <w:rPr>
          <w:rFonts w:ascii="Times New Roman" w:eastAsia="方正仿宋_GBK" w:hAnsi="Times New Roman" w:hint="eastAsia"/>
          <w:sz w:val="32"/>
        </w:rPr>
        <w:t>9,750</w:t>
      </w:r>
      <w:r w:rsidRPr="009A3D02">
        <w:rPr>
          <w:rFonts w:ascii="Times New Roman" w:eastAsia="方正仿宋_GBK" w:hAnsi="Times New Roman" w:hint="eastAsia"/>
          <w:sz w:val="32"/>
        </w:rPr>
        <w:t>万元按规定用于补充预算稳定调节基金。</w:t>
      </w:r>
    </w:p>
    <w:p w:rsidR="009A3D02" w:rsidRPr="009A3D02" w:rsidRDefault="009A3D02" w:rsidP="009A3D02">
      <w:pPr>
        <w:spacing w:line="600" w:lineRule="exact"/>
        <w:ind w:firstLineChars="200" w:firstLine="640"/>
        <w:rPr>
          <w:rFonts w:ascii="Times New Roman" w:eastAsia="方正仿宋_GBK" w:hAnsi="Times New Roman"/>
          <w:sz w:val="32"/>
        </w:rPr>
      </w:pPr>
      <w:r w:rsidRPr="009A3D02">
        <w:rPr>
          <w:rFonts w:ascii="方正楷体_GBK" w:eastAsia="方正楷体_GBK" w:hAnsi="Times New Roman" w:hint="eastAsia"/>
          <w:color w:val="0D0D0D"/>
          <w:sz w:val="32"/>
        </w:rPr>
        <w:t>（七）</w:t>
      </w:r>
      <w:r w:rsidR="00951030" w:rsidRPr="009A3D02">
        <w:rPr>
          <w:rFonts w:ascii="方正楷体_GBK" w:eastAsia="方正楷体_GBK" w:hAnsi="Times New Roman" w:hint="eastAsia"/>
          <w:color w:val="0D0D0D"/>
          <w:sz w:val="32"/>
        </w:rPr>
        <w:t>政府债务情况</w:t>
      </w:r>
    </w:p>
    <w:p w:rsidR="00951030" w:rsidRPr="009A3D02" w:rsidRDefault="00951030" w:rsidP="00951030">
      <w:pPr>
        <w:spacing w:line="600" w:lineRule="exact"/>
        <w:ind w:firstLineChars="200" w:firstLine="640"/>
        <w:rPr>
          <w:rFonts w:ascii="Times New Roman" w:eastAsia="方正仿宋_GBK" w:hAnsi="Times New Roman"/>
          <w:sz w:val="32"/>
          <w:highlight w:val="yellow"/>
        </w:rPr>
      </w:pPr>
      <w:r w:rsidRPr="009A3D02">
        <w:rPr>
          <w:rFonts w:ascii="Times New Roman" w:eastAsia="方正仿宋_GBK" w:hAnsi="Times New Roman"/>
          <w:sz w:val="32"/>
        </w:rPr>
        <w:t>2024</w:t>
      </w:r>
      <w:r w:rsidRPr="009A3D02">
        <w:rPr>
          <w:rFonts w:ascii="Times New Roman" w:eastAsia="方正仿宋_GBK" w:hAnsi="Times New Roman"/>
          <w:sz w:val="32"/>
        </w:rPr>
        <w:t>年市财政下达西部科学城重庆高新区政府债务限额</w:t>
      </w:r>
      <w:r w:rsidRPr="009A3D02">
        <w:rPr>
          <w:rFonts w:ascii="Times New Roman" w:eastAsia="方正仿宋_GBK" w:hAnsi="Times New Roman"/>
          <w:sz w:val="32"/>
        </w:rPr>
        <w:t>756.85</w:t>
      </w:r>
      <w:r w:rsidRPr="009A3D02">
        <w:rPr>
          <w:rFonts w:ascii="Times New Roman" w:eastAsia="方正仿宋_GBK" w:hAnsi="Times New Roman"/>
          <w:sz w:val="32"/>
        </w:rPr>
        <w:t>亿元，其中，一般债务限额</w:t>
      </w:r>
      <w:r w:rsidRPr="009A3D02">
        <w:rPr>
          <w:rFonts w:ascii="Times New Roman" w:eastAsia="方正仿宋_GBK" w:hAnsi="Times New Roman"/>
          <w:sz w:val="32"/>
        </w:rPr>
        <w:t>172.25</w:t>
      </w:r>
      <w:r w:rsidRPr="009A3D02">
        <w:rPr>
          <w:rFonts w:ascii="Times New Roman" w:eastAsia="方正仿宋_GBK" w:hAnsi="Times New Roman"/>
          <w:sz w:val="32"/>
        </w:rPr>
        <w:t>亿元、专项债务限额</w:t>
      </w:r>
      <w:r w:rsidRPr="009A3D02">
        <w:rPr>
          <w:rFonts w:ascii="Times New Roman" w:eastAsia="方正仿宋_GBK" w:hAnsi="Times New Roman"/>
          <w:sz w:val="32"/>
        </w:rPr>
        <w:t>584.6</w:t>
      </w:r>
      <w:r w:rsidRPr="009A3D02">
        <w:rPr>
          <w:rFonts w:ascii="Times New Roman" w:eastAsia="方正仿宋_GBK" w:hAnsi="Times New Roman"/>
          <w:sz w:val="32"/>
        </w:rPr>
        <w:t>亿元。</w:t>
      </w:r>
    </w:p>
    <w:p w:rsidR="00951030" w:rsidRPr="009A3D02" w:rsidRDefault="00951030" w:rsidP="00951030">
      <w:pPr>
        <w:spacing w:line="600" w:lineRule="exact"/>
        <w:ind w:firstLineChars="200" w:firstLine="640"/>
        <w:rPr>
          <w:rFonts w:ascii="Times New Roman" w:eastAsia="方正仿宋_GBK" w:hAnsi="Times New Roman"/>
          <w:sz w:val="32"/>
          <w:highlight w:val="yellow"/>
        </w:rPr>
      </w:pPr>
      <w:r w:rsidRPr="009A3D02">
        <w:rPr>
          <w:rFonts w:ascii="Times New Roman" w:eastAsia="方正仿宋_GBK" w:hAnsi="Times New Roman"/>
          <w:sz w:val="32"/>
        </w:rPr>
        <w:t>2024</w:t>
      </w:r>
      <w:r w:rsidRPr="009A3D02">
        <w:rPr>
          <w:rFonts w:ascii="Times New Roman" w:eastAsia="方正仿宋_GBK" w:hAnsi="Times New Roman"/>
          <w:sz w:val="32"/>
        </w:rPr>
        <w:t>年，西部科学城重庆高新区政府债务转贷收入</w:t>
      </w:r>
      <w:r w:rsidRPr="009A3D02">
        <w:rPr>
          <w:rFonts w:ascii="Times New Roman" w:eastAsia="方正仿宋_GBK" w:hAnsi="Times New Roman"/>
          <w:sz w:val="32"/>
        </w:rPr>
        <w:t>151.22</w:t>
      </w:r>
      <w:r w:rsidRPr="009A3D02">
        <w:rPr>
          <w:rFonts w:ascii="Times New Roman" w:eastAsia="方正仿宋_GBK" w:hAnsi="Times New Roman"/>
          <w:sz w:val="32"/>
        </w:rPr>
        <w:t>亿元，其中，新增一般债券</w:t>
      </w:r>
      <w:r w:rsidRPr="009A3D02">
        <w:rPr>
          <w:rFonts w:ascii="Times New Roman" w:eastAsia="方正仿宋_GBK" w:hAnsi="Times New Roman"/>
          <w:sz w:val="32"/>
        </w:rPr>
        <w:t>1.65</w:t>
      </w:r>
      <w:r w:rsidRPr="009A3D02">
        <w:rPr>
          <w:rFonts w:ascii="Times New Roman" w:eastAsia="方正仿宋_GBK" w:hAnsi="Times New Roman"/>
          <w:sz w:val="32"/>
        </w:rPr>
        <w:t>亿元，新增专项债券</w:t>
      </w:r>
      <w:r w:rsidRPr="009A3D02">
        <w:rPr>
          <w:rFonts w:ascii="Times New Roman" w:eastAsia="方正仿宋_GBK" w:hAnsi="Times New Roman"/>
          <w:sz w:val="32"/>
        </w:rPr>
        <w:t>92.13</w:t>
      </w:r>
      <w:r w:rsidRPr="009A3D02">
        <w:rPr>
          <w:rFonts w:ascii="Times New Roman" w:eastAsia="方正仿宋_GBK" w:hAnsi="Times New Roman"/>
          <w:sz w:val="32"/>
        </w:rPr>
        <w:t>亿元，再融资一般债券</w:t>
      </w:r>
      <w:r w:rsidRPr="009A3D02">
        <w:rPr>
          <w:rFonts w:ascii="Times New Roman" w:eastAsia="方正仿宋_GBK" w:hAnsi="Times New Roman"/>
          <w:sz w:val="32"/>
        </w:rPr>
        <w:t>21.98</w:t>
      </w:r>
      <w:r w:rsidRPr="009A3D02">
        <w:rPr>
          <w:rFonts w:ascii="Times New Roman" w:eastAsia="方正仿宋_GBK" w:hAnsi="Times New Roman"/>
          <w:sz w:val="32"/>
        </w:rPr>
        <w:t>亿元，再融资专项债券</w:t>
      </w:r>
      <w:r w:rsidRPr="009A3D02">
        <w:rPr>
          <w:rFonts w:ascii="Times New Roman" w:eastAsia="方正仿宋_GBK" w:hAnsi="Times New Roman"/>
          <w:sz w:val="32"/>
        </w:rPr>
        <w:t>35.46</w:t>
      </w:r>
      <w:r w:rsidRPr="009A3D02">
        <w:rPr>
          <w:rFonts w:ascii="Times New Roman" w:eastAsia="方正仿宋_GBK" w:hAnsi="Times New Roman"/>
          <w:sz w:val="32"/>
        </w:rPr>
        <w:t>亿元。政府债务还本付息支出</w:t>
      </w:r>
      <w:r w:rsidRPr="009A3D02">
        <w:rPr>
          <w:rFonts w:ascii="Times New Roman" w:eastAsia="方正仿宋_GBK" w:hAnsi="Times New Roman"/>
          <w:sz w:val="32"/>
        </w:rPr>
        <w:t>80.87</w:t>
      </w:r>
      <w:r w:rsidRPr="009A3D02">
        <w:rPr>
          <w:rFonts w:ascii="Times New Roman" w:eastAsia="方正仿宋_GBK" w:hAnsi="Times New Roman"/>
          <w:sz w:val="32"/>
        </w:rPr>
        <w:t>亿元，其中，债务还本支出</w:t>
      </w:r>
      <w:r w:rsidRPr="009A3D02">
        <w:rPr>
          <w:rFonts w:ascii="Times New Roman" w:eastAsia="方正仿宋_GBK" w:hAnsi="Times New Roman"/>
          <w:sz w:val="32"/>
        </w:rPr>
        <w:t>58.77</w:t>
      </w:r>
      <w:r w:rsidRPr="009A3D02">
        <w:rPr>
          <w:rFonts w:ascii="Times New Roman" w:eastAsia="方正仿宋_GBK" w:hAnsi="Times New Roman"/>
          <w:sz w:val="32"/>
        </w:rPr>
        <w:t>亿元，债务付息支出</w:t>
      </w:r>
      <w:r w:rsidRPr="009A3D02">
        <w:rPr>
          <w:rFonts w:ascii="Times New Roman" w:eastAsia="方正仿宋_GBK" w:hAnsi="Times New Roman"/>
          <w:sz w:val="32"/>
        </w:rPr>
        <w:t>22.1</w:t>
      </w:r>
      <w:r w:rsidRPr="009A3D02">
        <w:rPr>
          <w:rFonts w:ascii="Times New Roman" w:eastAsia="方正仿宋_GBK" w:hAnsi="Times New Roman"/>
          <w:sz w:val="32"/>
        </w:rPr>
        <w:t>亿元。</w:t>
      </w:r>
    </w:p>
    <w:p w:rsidR="009A3D02" w:rsidRPr="009A3D02" w:rsidRDefault="00951030" w:rsidP="00951030">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sz w:val="32"/>
        </w:rPr>
        <w:t>2024</w:t>
      </w:r>
      <w:r w:rsidRPr="009A3D02">
        <w:rPr>
          <w:rFonts w:ascii="Times New Roman" w:eastAsia="方正仿宋_GBK" w:hAnsi="Times New Roman"/>
          <w:sz w:val="32"/>
        </w:rPr>
        <w:t>年底，西部科学城重庆高新区政府债务余额为</w:t>
      </w:r>
      <w:r w:rsidRPr="009A3D02">
        <w:rPr>
          <w:rFonts w:ascii="Times New Roman" w:eastAsia="方正仿宋_GBK" w:hAnsi="Times New Roman"/>
          <w:sz w:val="32"/>
        </w:rPr>
        <w:t>75</w:t>
      </w:r>
      <w:r w:rsidRPr="009A3D02">
        <w:rPr>
          <w:rFonts w:ascii="Times New Roman" w:eastAsia="方正仿宋_GBK" w:hAnsi="Times New Roman" w:hint="eastAsia"/>
          <w:sz w:val="32"/>
        </w:rPr>
        <w:t>6</w:t>
      </w:r>
      <w:r w:rsidRPr="009A3D02">
        <w:rPr>
          <w:rFonts w:ascii="Times New Roman" w:eastAsia="方正仿宋_GBK" w:hAnsi="Times New Roman"/>
          <w:sz w:val="32"/>
        </w:rPr>
        <w:t>.84</w:t>
      </w:r>
      <w:r w:rsidRPr="009A3D02">
        <w:rPr>
          <w:rFonts w:ascii="Times New Roman" w:eastAsia="方正仿宋_GBK" w:hAnsi="Times New Roman"/>
          <w:sz w:val="32"/>
        </w:rPr>
        <w:t>亿元，在核定限额之内。其中，一般债务余额</w:t>
      </w:r>
      <w:r w:rsidRPr="009A3D02">
        <w:rPr>
          <w:rFonts w:ascii="Times New Roman" w:eastAsia="方正仿宋_GBK" w:hAnsi="Times New Roman"/>
          <w:sz w:val="32"/>
        </w:rPr>
        <w:t>172.24</w:t>
      </w:r>
      <w:r w:rsidRPr="009A3D02">
        <w:rPr>
          <w:rFonts w:ascii="Times New Roman" w:eastAsia="方正仿宋_GBK" w:hAnsi="Times New Roman"/>
          <w:sz w:val="32"/>
        </w:rPr>
        <w:t>亿元，专项债务余额</w:t>
      </w:r>
      <w:r w:rsidRPr="009A3D02">
        <w:rPr>
          <w:rFonts w:ascii="Times New Roman" w:eastAsia="方正仿宋_GBK" w:hAnsi="Times New Roman"/>
          <w:sz w:val="32"/>
        </w:rPr>
        <w:t>584.60</w:t>
      </w:r>
      <w:r w:rsidRPr="009A3D02">
        <w:rPr>
          <w:rFonts w:ascii="Times New Roman" w:eastAsia="方正仿宋_GBK" w:hAnsi="Times New Roman"/>
          <w:sz w:val="32"/>
        </w:rPr>
        <w:t>亿元。</w:t>
      </w:r>
    </w:p>
    <w:p w:rsidR="009A3D02" w:rsidRPr="009A3D02" w:rsidRDefault="009A3D02" w:rsidP="009A3D02">
      <w:pPr>
        <w:spacing w:line="600" w:lineRule="exact"/>
        <w:ind w:firstLineChars="200" w:firstLine="640"/>
        <w:rPr>
          <w:rFonts w:ascii="Times New Roman" w:eastAsia="方正仿宋_GBK" w:hAnsi="Times New Roman"/>
          <w:sz w:val="32"/>
        </w:rPr>
      </w:pPr>
      <w:r w:rsidRPr="009A3D02">
        <w:rPr>
          <w:rFonts w:ascii="方正楷体_GBK" w:eastAsia="方正楷体_GBK" w:hAnsi="Times New Roman" w:hint="eastAsia"/>
          <w:color w:val="0D0D0D"/>
          <w:sz w:val="32"/>
        </w:rPr>
        <w:t>（</w:t>
      </w:r>
      <w:r w:rsidRPr="009A3D02">
        <w:rPr>
          <w:rFonts w:ascii="方正楷体_GBK" w:eastAsia="方正楷体_GBK" w:hAnsi="Times New Roman" w:hint="eastAsia"/>
          <w:sz w:val="32"/>
        </w:rPr>
        <w:t>八</w:t>
      </w:r>
      <w:r w:rsidRPr="009A3D02">
        <w:rPr>
          <w:rFonts w:ascii="方正楷体_GBK" w:eastAsia="方正楷体_GBK" w:hAnsi="Times New Roman" w:hint="eastAsia"/>
          <w:color w:val="0D0D0D"/>
          <w:sz w:val="32"/>
        </w:rPr>
        <w:t>）</w:t>
      </w:r>
      <w:r w:rsidR="00951030" w:rsidRPr="009A3D02">
        <w:rPr>
          <w:rFonts w:ascii="方正楷体_GBK" w:eastAsia="方正楷体_GBK" w:hAnsi="Times New Roman" w:hint="eastAsia"/>
          <w:sz w:val="32"/>
        </w:rPr>
        <w:t>存量资金收支情况</w:t>
      </w:r>
    </w:p>
    <w:p w:rsidR="009A3D02" w:rsidRPr="009A3D02" w:rsidRDefault="00951030" w:rsidP="009A3D02">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sz w:val="32"/>
        </w:rPr>
        <w:t>年初存量资金余额为</w:t>
      </w:r>
      <w:r w:rsidRPr="009A3D02">
        <w:rPr>
          <w:rFonts w:ascii="Times New Roman" w:eastAsia="方正仿宋_GBK" w:hAnsi="Times New Roman"/>
          <w:sz w:val="32"/>
        </w:rPr>
        <w:t>0.</w:t>
      </w:r>
      <w:r w:rsidRPr="009A3D02">
        <w:rPr>
          <w:rFonts w:ascii="Times New Roman" w:eastAsia="方正仿宋_GBK" w:hAnsi="Times New Roman" w:hint="eastAsia"/>
          <w:sz w:val="32"/>
        </w:rPr>
        <w:t>1</w:t>
      </w:r>
      <w:r w:rsidRPr="009A3D02">
        <w:rPr>
          <w:rFonts w:ascii="Times New Roman" w:eastAsia="方正仿宋_GBK" w:hAnsi="Times New Roman"/>
          <w:sz w:val="32"/>
        </w:rPr>
        <w:t>亿元。年度执行中，</w:t>
      </w:r>
      <w:r w:rsidRPr="009A3D02">
        <w:rPr>
          <w:rFonts w:ascii="Times New Roman" w:eastAsia="方正仿宋_GBK" w:hAnsi="Times New Roman" w:hint="eastAsia"/>
          <w:sz w:val="32"/>
        </w:rPr>
        <w:t>按照预算管理相关要求，</w:t>
      </w:r>
      <w:r w:rsidRPr="009A3D02">
        <w:rPr>
          <w:rFonts w:ascii="Times New Roman" w:eastAsia="方正仿宋_GBK" w:hAnsi="Times New Roman"/>
          <w:sz w:val="32"/>
        </w:rPr>
        <w:t>加强财政存量资金盘活力度，全年共收回存量资金</w:t>
      </w:r>
      <w:r w:rsidRPr="009A3D02">
        <w:rPr>
          <w:rFonts w:ascii="Times New Roman" w:eastAsia="方正仿宋_GBK" w:hAnsi="Times New Roman"/>
          <w:sz w:val="32"/>
        </w:rPr>
        <w:t>3.7</w:t>
      </w:r>
      <w:r w:rsidRPr="009A3D02">
        <w:rPr>
          <w:rFonts w:ascii="Times New Roman" w:eastAsia="方正仿宋_GBK" w:hAnsi="Times New Roman"/>
          <w:sz w:val="32"/>
        </w:rPr>
        <w:t>亿元</w:t>
      </w:r>
      <w:r w:rsidRPr="009A3D02">
        <w:rPr>
          <w:rFonts w:ascii="Times New Roman" w:eastAsia="方正仿宋_GBK" w:hAnsi="Times New Roman" w:hint="eastAsia"/>
          <w:sz w:val="32"/>
        </w:rPr>
        <w:t>。年度执行中，根据各单位支出需求情况，</w:t>
      </w:r>
      <w:r w:rsidRPr="009A3D02">
        <w:rPr>
          <w:rFonts w:ascii="Times New Roman" w:eastAsia="方正仿宋_GBK" w:hAnsi="Times New Roman"/>
          <w:sz w:val="32"/>
        </w:rPr>
        <w:t>安排</w:t>
      </w:r>
      <w:r w:rsidRPr="009A3D02">
        <w:rPr>
          <w:rFonts w:ascii="Times New Roman" w:eastAsia="方正仿宋_GBK" w:hAnsi="Times New Roman" w:hint="eastAsia"/>
          <w:sz w:val="32"/>
        </w:rPr>
        <w:t>盘活</w:t>
      </w:r>
      <w:r w:rsidRPr="009A3D02">
        <w:rPr>
          <w:rFonts w:ascii="Times New Roman" w:eastAsia="方正仿宋_GBK" w:hAnsi="Times New Roman"/>
          <w:sz w:val="32"/>
        </w:rPr>
        <w:t>使用</w:t>
      </w:r>
      <w:r w:rsidRPr="009A3D02">
        <w:rPr>
          <w:rFonts w:ascii="Times New Roman" w:eastAsia="方正仿宋_GBK" w:hAnsi="Times New Roman"/>
          <w:sz w:val="32"/>
        </w:rPr>
        <w:t>2.2</w:t>
      </w:r>
      <w:r w:rsidRPr="009A3D02">
        <w:rPr>
          <w:rFonts w:ascii="Times New Roman" w:eastAsia="方正仿宋_GBK" w:hAnsi="Times New Roman"/>
          <w:sz w:val="32"/>
        </w:rPr>
        <w:t>亿元，主要用于规划研究、生态环保、水库治理和公益性基础设施建设。</w:t>
      </w:r>
      <w:r w:rsidRPr="009A3D02">
        <w:rPr>
          <w:rFonts w:ascii="Times New Roman" w:eastAsia="方正仿宋_GBK" w:hAnsi="Times New Roman"/>
          <w:sz w:val="32"/>
        </w:rPr>
        <w:t>2024</w:t>
      </w:r>
      <w:r w:rsidRPr="009A3D02">
        <w:rPr>
          <w:rFonts w:ascii="Times New Roman" w:eastAsia="方正仿宋_GBK" w:hAnsi="Times New Roman"/>
          <w:sz w:val="32"/>
        </w:rPr>
        <w:t>年底，存量资金余额为</w:t>
      </w:r>
      <w:r w:rsidRPr="009A3D02">
        <w:rPr>
          <w:rFonts w:ascii="Times New Roman" w:eastAsia="方正仿宋_GBK" w:hAnsi="Times New Roman"/>
          <w:sz w:val="32"/>
        </w:rPr>
        <w:t>1.6</w:t>
      </w:r>
      <w:r w:rsidRPr="009A3D02">
        <w:rPr>
          <w:rFonts w:ascii="Times New Roman" w:eastAsia="方正仿宋_GBK" w:hAnsi="Times New Roman"/>
          <w:sz w:val="32"/>
        </w:rPr>
        <w:t>亿元。</w:t>
      </w:r>
    </w:p>
    <w:p w:rsidR="009A3D02" w:rsidRPr="009A3D02" w:rsidRDefault="009A3D02" w:rsidP="009A3D02">
      <w:pPr>
        <w:spacing w:line="600" w:lineRule="exact"/>
        <w:ind w:firstLineChars="200" w:firstLine="640"/>
        <w:rPr>
          <w:rFonts w:ascii="方正楷体_GBK" w:eastAsia="方正楷体_GBK" w:hAnsi="Times New Roman"/>
          <w:sz w:val="32"/>
        </w:rPr>
      </w:pPr>
      <w:r w:rsidRPr="009A3D02">
        <w:rPr>
          <w:rFonts w:ascii="方正楷体_GBK" w:eastAsia="方正楷体_GBK" w:hAnsi="Times New Roman" w:hint="eastAsia"/>
          <w:sz w:val="32"/>
        </w:rPr>
        <w:lastRenderedPageBreak/>
        <w:t>（九）</w:t>
      </w:r>
      <w:r w:rsidR="00951030" w:rsidRPr="009A3D02">
        <w:rPr>
          <w:rFonts w:ascii="方正楷体_GBK" w:eastAsia="方正楷体_GBK" w:hAnsi="Times New Roman" w:hint="eastAsia"/>
          <w:sz w:val="32"/>
        </w:rPr>
        <w:t>重点绩效评价工作</w:t>
      </w:r>
    </w:p>
    <w:p w:rsidR="009A3D02" w:rsidRPr="009A3D02" w:rsidRDefault="00951030" w:rsidP="009A3D02">
      <w:pPr>
        <w:spacing w:line="600" w:lineRule="exact"/>
        <w:ind w:firstLineChars="200" w:firstLine="640"/>
        <w:rPr>
          <w:rFonts w:ascii="Times New Roman" w:eastAsia="方正仿宋_GBK" w:hAnsi="Times New Roman"/>
          <w:sz w:val="32"/>
        </w:rPr>
      </w:pP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重庆高新区财政局不断完善预算绩效管理体系，着力提升财政资源配置效率和使用效益。一是政治引领，力求绩效工作新成效。把讲政治融入到预算绩效管理的具体工作，压实绩效管理主体责任，树牢预算绩效管理意识。二是直击痛点，完善区级绩效指标体系。着力完善了区级绩效指标标准体系，并合理运用到</w:t>
      </w:r>
      <w:r w:rsidRPr="009A3D02">
        <w:rPr>
          <w:rFonts w:ascii="Times New Roman" w:eastAsia="方正仿宋_GBK" w:hAnsi="Times New Roman" w:hint="eastAsia"/>
          <w:sz w:val="32"/>
        </w:rPr>
        <w:t>2025</w:t>
      </w:r>
      <w:r w:rsidRPr="009A3D02">
        <w:rPr>
          <w:rFonts w:ascii="Times New Roman" w:eastAsia="方正仿宋_GBK" w:hAnsi="Times New Roman" w:hint="eastAsia"/>
          <w:sz w:val="32"/>
        </w:rPr>
        <w:t>年预算编报工作中，使绩效目标填报由“填空题”变成“选择题”，提高了编报质量和编报效率。三是强化应用，迈入绩效提质新阶段。</w:t>
      </w: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年财政局对全区所有</w:t>
      </w:r>
      <w:r w:rsidRPr="009A3D02">
        <w:rPr>
          <w:rFonts w:ascii="Times New Roman" w:eastAsia="方正仿宋_GBK" w:hAnsi="Times New Roman" w:hint="eastAsia"/>
          <w:sz w:val="32"/>
        </w:rPr>
        <w:t>29</w:t>
      </w:r>
      <w:r w:rsidRPr="009A3D02">
        <w:rPr>
          <w:rFonts w:ascii="Times New Roman" w:eastAsia="方正仿宋_GBK" w:hAnsi="Times New Roman" w:hint="eastAsia"/>
          <w:sz w:val="32"/>
        </w:rPr>
        <w:t>个一级预算单位进行考核，根据《重庆高新区</w:t>
      </w: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预算安排与监督检查和绩效评价结果挂钩实施方案》对相应预算进行奖惩，推进财政支出由“重分配”向“重绩效”转变，真正实现“花钱必问效，无效必问责”。四是加强培训，深化意识适应新常态。邀请绩效领域学者、三方机构专家及市财政绩效中心开展专题培训，提高全区预算绩效管理整体水平，为有序推进全局预算绩效管理工作夯实了人才基础。</w:t>
      </w:r>
    </w:p>
    <w:p w:rsidR="009A3D02" w:rsidRPr="009A3D02" w:rsidRDefault="009A3D02" w:rsidP="009A3D02">
      <w:pPr>
        <w:spacing w:line="600" w:lineRule="exact"/>
        <w:ind w:firstLineChars="200" w:firstLine="640"/>
        <w:rPr>
          <w:rFonts w:ascii="Times New Roman" w:eastAsia="方正仿宋_GBK" w:hAnsi="Times New Roman"/>
          <w:sz w:val="32"/>
        </w:rPr>
      </w:pPr>
      <w:r w:rsidRPr="009A3D02">
        <w:rPr>
          <w:rFonts w:ascii="方正楷体_GBK" w:eastAsia="方正楷体_GBK" w:hAnsi="Times New Roman" w:hint="eastAsia"/>
          <w:sz w:val="32"/>
        </w:rPr>
        <w:t>（十）</w:t>
      </w:r>
      <w:r w:rsidR="00951030" w:rsidRPr="009A3D02">
        <w:rPr>
          <w:rFonts w:ascii="方正楷体_GBK" w:eastAsia="方正楷体_GBK" w:hAnsi="Times New Roman" w:hint="eastAsia"/>
          <w:sz w:val="32"/>
        </w:rPr>
        <w:t>审计意见整改落实情况</w:t>
      </w:r>
    </w:p>
    <w:p w:rsidR="009A3D02" w:rsidRPr="009A3D02" w:rsidRDefault="00951030" w:rsidP="00951030">
      <w:pPr>
        <w:spacing w:line="600" w:lineRule="exact"/>
        <w:ind w:firstLineChars="200" w:firstLine="640"/>
        <w:rPr>
          <w:rFonts w:ascii="Times New Roman" w:eastAsia="方正仿宋_GBK" w:hAnsi="Times New Roman" w:hint="eastAsia"/>
          <w:sz w:val="32"/>
        </w:rPr>
      </w:pPr>
      <w:r w:rsidRPr="009A3D02">
        <w:rPr>
          <w:rFonts w:ascii="Times New Roman" w:eastAsia="方正仿宋_GBK" w:hAnsi="Times New Roman" w:hint="eastAsia"/>
          <w:sz w:val="32"/>
        </w:rPr>
        <w:t>2025</w:t>
      </w:r>
      <w:r w:rsidRPr="009A3D02">
        <w:rPr>
          <w:rFonts w:ascii="Times New Roman" w:eastAsia="方正仿宋_GBK" w:hAnsi="Times New Roman" w:hint="eastAsia"/>
          <w:sz w:val="32"/>
        </w:rPr>
        <w:t>年上半年，市审计局依法对</w:t>
      </w:r>
      <w:r w:rsidRPr="009A3D02">
        <w:rPr>
          <w:rFonts w:ascii="Times New Roman" w:eastAsia="方正仿宋_GBK" w:hAnsi="Times New Roman" w:hint="eastAsia"/>
          <w:sz w:val="32"/>
        </w:rPr>
        <w:t>2024</w:t>
      </w:r>
      <w:r w:rsidRPr="009A3D02">
        <w:rPr>
          <w:rFonts w:ascii="Times New Roman" w:eastAsia="方正仿宋_GBK" w:hAnsi="Times New Roman" w:hint="eastAsia"/>
          <w:sz w:val="32"/>
        </w:rPr>
        <w:t>年度高新区预算执行和决算草案编制进行了审计，指出了在预决算管理、重点专项支出绩效、财政资金与政府采购管理、以往年度审计发现问题整改</w:t>
      </w:r>
      <w:r w:rsidRPr="009A3D02">
        <w:rPr>
          <w:rFonts w:ascii="Times New Roman" w:eastAsia="方正仿宋_GBK" w:hAnsi="Times New Roman" w:hint="eastAsia"/>
          <w:sz w:val="32"/>
        </w:rPr>
        <w:t>4</w:t>
      </w:r>
      <w:r w:rsidRPr="009A3D02">
        <w:rPr>
          <w:rFonts w:ascii="Times New Roman" w:eastAsia="方正仿宋_GBK" w:hAnsi="Times New Roman" w:hint="eastAsia"/>
          <w:sz w:val="32"/>
        </w:rPr>
        <w:t>个方面存在的</w:t>
      </w:r>
      <w:r w:rsidRPr="009A3D02">
        <w:rPr>
          <w:rFonts w:ascii="Times New Roman" w:eastAsia="方正仿宋_GBK" w:hAnsi="Times New Roman" w:hint="eastAsia"/>
          <w:sz w:val="32"/>
        </w:rPr>
        <w:t>14</w:t>
      </w:r>
      <w:r w:rsidRPr="009A3D02">
        <w:rPr>
          <w:rFonts w:ascii="Times New Roman" w:eastAsia="方正仿宋_GBK" w:hAnsi="Times New Roman" w:hint="eastAsia"/>
          <w:sz w:val="32"/>
        </w:rPr>
        <w:t>条具体问题，并提出了相应处理意见。目前，</w:t>
      </w:r>
      <w:r w:rsidRPr="009A3D02">
        <w:rPr>
          <w:rFonts w:ascii="Times New Roman" w:eastAsia="方正仿宋_GBK" w:hAnsi="Times New Roman" w:hint="eastAsia"/>
          <w:sz w:val="32"/>
        </w:rPr>
        <w:lastRenderedPageBreak/>
        <w:t>高新区财政局正协同有关部门对照审计报告指出的问题，对标对表开展整改工作，目前已有</w:t>
      </w:r>
      <w:r w:rsidRPr="009A3D02">
        <w:rPr>
          <w:rFonts w:ascii="Times New Roman" w:eastAsia="方正仿宋_GBK" w:hAnsi="Times New Roman" w:hint="eastAsia"/>
          <w:sz w:val="32"/>
        </w:rPr>
        <w:t>9</w:t>
      </w:r>
      <w:r w:rsidRPr="009A3D02">
        <w:rPr>
          <w:rFonts w:ascii="Times New Roman" w:eastAsia="方正仿宋_GBK" w:hAnsi="Times New Roman" w:hint="eastAsia"/>
          <w:sz w:val="32"/>
        </w:rPr>
        <w:t>个问题完成整改，其余问题确保在整改时限内完成整改。一是细化预算编制，深化零基预算改革，完善支出分类标准，提高预算编制的精细度和完整性。二是提高资金使用绩效，加强上级资金绩效运行监控，加快推动项目建设。三是加强预算执行监督，构建日常执行监督、现场检查监督、内部审计监督“三位一体”的监督检查机制，及时发现问题、有效解决问题。下一步，将进一步深化审计成果运用，举一反三推动问题整改，做深做实审计整改下半篇文章，不断提高财政规范化管理能力和水平。</w:t>
      </w:r>
    </w:p>
    <w:p w:rsidR="00BF0D98" w:rsidRDefault="009A3D02" w:rsidP="009A3D02">
      <w:pPr>
        <w:spacing w:line="600" w:lineRule="exact"/>
        <w:ind w:firstLineChars="200" w:firstLine="640"/>
        <w:rPr>
          <w:rFonts w:ascii="Times New Roman" w:eastAsia="方正仿宋_GBK" w:hAnsi="Times New Roman"/>
          <w:sz w:val="32"/>
        </w:rPr>
      </w:pPr>
      <w:r>
        <w:rPr>
          <w:rFonts w:ascii="Times New Roman" w:eastAsia="方正仿宋_GBK" w:hAnsi="Times New Roman"/>
          <w:sz w:val="32"/>
        </w:rPr>
        <w:br w:type="page"/>
      </w:r>
    </w:p>
    <w:p w:rsidR="00BF0D98" w:rsidRDefault="00BF0D98">
      <w:pPr>
        <w:spacing w:line="600" w:lineRule="exact"/>
        <w:ind w:firstLineChars="200" w:firstLine="640"/>
        <w:rPr>
          <w:rFonts w:ascii="Times New Roman" w:eastAsia="方正仿宋_GBK" w:hAnsi="Times New Roman"/>
          <w:sz w:val="32"/>
        </w:rPr>
      </w:pPr>
    </w:p>
    <w:p w:rsidR="00BF0D98" w:rsidRDefault="00BF0D98">
      <w:pPr>
        <w:spacing w:line="600" w:lineRule="exact"/>
        <w:ind w:firstLineChars="200" w:firstLine="640"/>
        <w:rPr>
          <w:rFonts w:ascii="Times New Roman" w:eastAsia="方正仿宋_GBK" w:hAnsi="Times New Roman"/>
          <w:sz w:val="32"/>
        </w:rPr>
      </w:pPr>
    </w:p>
    <w:p w:rsidR="00BF0D98" w:rsidRDefault="00BF0D98">
      <w:pPr>
        <w:spacing w:line="600" w:lineRule="exact"/>
        <w:ind w:firstLineChars="200" w:firstLine="640"/>
        <w:rPr>
          <w:rFonts w:ascii="Times New Roman" w:eastAsia="方正仿宋_GBK" w:hAnsi="Times New Roman"/>
          <w:sz w:val="32"/>
        </w:rPr>
      </w:pPr>
    </w:p>
    <w:p w:rsidR="00BF0D98" w:rsidRDefault="00BF0D98">
      <w:pPr>
        <w:spacing w:line="600" w:lineRule="exact"/>
        <w:ind w:firstLineChars="200" w:firstLine="640"/>
        <w:rPr>
          <w:rFonts w:ascii="Times New Roman" w:eastAsia="方正仿宋_GBK" w:hAnsi="Times New Roman"/>
          <w:sz w:val="32"/>
        </w:rPr>
      </w:pPr>
    </w:p>
    <w:p w:rsidR="00BF0D98" w:rsidRDefault="00000000">
      <w:pPr>
        <w:widowControl/>
        <w:jc w:val="center"/>
        <w:rPr>
          <w:rFonts w:ascii="Times New Roman" w:eastAsia="方正小标宋_GBK" w:hAnsi="Times New Roman"/>
          <w:bCs/>
          <w:color w:val="0D0D0D"/>
          <w:kern w:val="44"/>
          <w:sz w:val="44"/>
          <w:szCs w:val="44"/>
        </w:rPr>
      </w:pPr>
      <w:r>
        <w:rPr>
          <w:rFonts w:ascii="Times New Roman" w:eastAsia="方正小标宋_GBK" w:hAnsi="Times New Roman"/>
          <w:bCs/>
          <w:color w:val="0D0D0D"/>
          <w:kern w:val="44"/>
          <w:sz w:val="44"/>
          <w:szCs w:val="44"/>
        </w:rPr>
        <w:t>西部科学城重庆高新区</w:t>
      </w:r>
      <w:r>
        <w:rPr>
          <w:rFonts w:ascii="Times New Roman" w:eastAsia="方正小标宋_GBK" w:hAnsi="Times New Roman"/>
          <w:bCs/>
          <w:color w:val="0D0D0D"/>
          <w:kern w:val="44"/>
          <w:sz w:val="44"/>
          <w:szCs w:val="44"/>
        </w:rPr>
        <w:t>2024</w:t>
      </w:r>
      <w:r>
        <w:rPr>
          <w:rFonts w:ascii="Times New Roman" w:eastAsia="方正小标宋_GBK" w:hAnsi="Times New Roman"/>
          <w:bCs/>
          <w:color w:val="0D0D0D"/>
          <w:kern w:val="44"/>
          <w:sz w:val="44"/>
          <w:szCs w:val="44"/>
        </w:rPr>
        <w:t>年</w:t>
      </w:r>
      <w:r>
        <w:rPr>
          <w:rFonts w:ascii="Times New Roman" w:eastAsia="方正小标宋_GBK" w:hAnsi="Times New Roman" w:hint="eastAsia"/>
          <w:bCs/>
          <w:color w:val="0D0D0D"/>
          <w:kern w:val="44"/>
          <w:sz w:val="44"/>
          <w:szCs w:val="44"/>
        </w:rPr>
        <w:t>决算</w:t>
      </w:r>
      <w:r>
        <w:rPr>
          <w:rFonts w:ascii="Times New Roman" w:eastAsia="方正小标宋_GBK" w:hAnsi="Times New Roman"/>
          <w:bCs/>
          <w:color w:val="0D0D0D"/>
          <w:kern w:val="44"/>
          <w:sz w:val="44"/>
          <w:szCs w:val="44"/>
        </w:rPr>
        <w:t>报告</w:t>
      </w:r>
    </w:p>
    <w:p w:rsidR="00BF0D98" w:rsidRDefault="00000000">
      <w:pPr>
        <w:widowControl/>
        <w:jc w:val="center"/>
        <w:rPr>
          <w:rFonts w:ascii="Times New Roman" w:eastAsia="方正小标宋_GBK" w:hAnsi="Times New Roman"/>
          <w:bCs/>
          <w:color w:val="0D0D0D"/>
          <w:kern w:val="44"/>
          <w:sz w:val="44"/>
          <w:szCs w:val="44"/>
        </w:rPr>
      </w:pPr>
      <w:r>
        <w:rPr>
          <w:rFonts w:ascii="Times New Roman" w:eastAsia="方正小标宋_GBK" w:hAnsi="Times New Roman"/>
          <w:bCs/>
          <w:color w:val="0D0D0D"/>
          <w:kern w:val="44"/>
          <w:sz w:val="44"/>
          <w:szCs w:val="44"/>
        </w:rPr>
        <w:t>附表</w:t>
      </w:r>
    </w:p>
    <w:p w:rsidR="00BF0D98" w:rsidRDefault="00BF0D98">
      <w:pPr>
        <w:widowControl/>
        <w:jc w:val="center"/>
        <w:rPr>
          <w:rFonts w:ascii="Times New Roman" w:eastAsia="方正小标宋_GBK" w:hAnsi="Times New Roman"/>
          <w:bCs/>
          <w:color w:val="0D0D0D"/>
          <w:kern w:val="44"/>
          <w:sz w:val="44"/>
          <w:szCs w:val="44"/>
        </w:rPr>
      </w:pPr>
    </w:p>
    <w:p w:rsidR="00BF0D98" w:rsidRDefault="00BF0D98">
      <w:pPr>
        <w:widowControl/>
        <w:jc w:val="center"/>
        <w:rPr>
          <w:rFonts w:ascii="Times New Roman" w:eastAsia="方正小标宋_GBK" w:hAnsi="Times New Roman"/>
          <w:bCs/>
          <w:color w:val="0D0D0D"/>
          <w:kern w:val="44"/>
          <w:sz w:val="44"/>
          <w:szCs w:val="44"/>
        </w:rPr>
      </w:pPr>
    </w:p>
    <w:p w:rsidR="00BF0D98" w:rsidRDefault="00BF0D98">
      <w:pPr>
        <w:widowControl/>
        <w:jc w:val="center"/>
        <w:rPr>
          <w:rFonts w:ascii="Times New Roman" w:eastAsia="方正小标宋_GBK" w:hAnsi="Times New Roman"/>
          <w:bCs/>
          <w:color w:val="0D0D0D"/>
          <w:kern w:val="44"/>
          <w:sz w:val="44"/>
          <w:szCs w:val="44"/>
        </w:rPr>
      </w:pPr>
    </w:p>
    <w:p w:rsidR="00BF0D98" w:rsidRDefault="00BF0D98">
      <w:pPr>
        <w:widowControl/>
        <w:jc w:val="center"/>
        <w:rPr>
          <w:rFonts w:ascii="Times New Roman" w:eastAsia="方正小标宋_GBK" w:hAnsi="Times New Roman"/>
          <w:bCs/>
          <w:color w:val="0D0D0D"/>
          <w:kern w:val="44"/>
          <w:sz w:val="44"/>
          <w:szCs w:val="44"/>
        </w:rPr>
      </w:pPr>
    </w:p>
    <w:p w:rsidR="00BF0D98" w:rsidRDefault="00BF0D98">
      <w:pPr>
        <w:widowControl/>
        <w:jc w:val="center"/>
        <w:rPr>
          <w:rFonts w:ascii="Times New Roman" w:eastAsia="方正小标宋_GBK" w:hAnsi="Times New Roman"/>
          <w:bCs/>
          <w:color w:val="0D0D0D"/>
          <w:kern w:val="44"/>
          <w:sz w:val="44"/>
          <w:szCs w:val="44"/>
        </w:rPr>
      </w:pPr>
    </w:p>
    <w:p w:rsidR="00BF0D98" w:rsidRDefault="00000000">
      <w:pPr>
        <w:widowControl/>
        <w:jc w:val="center"/>
        <w:rPr>
          <w:rFonts w:ascii="Times New Roman" w:eastAsia="方正楷体_GBK" w:hAnsi="Times New Roman"/>
          <w:bCs/>
          <w:color w:val="0D0D0D"/>
          <w:kern w:val="44"/>
          <w:sz w:val="44"/>
          <w:szCs w:val="44"/>
        </w:rPr>
      </w:pPr>
      <w:r>
        <w:rPr>
          <w:rFonts w:ascii="Times New Roman" w:eastAsia="方正楷体_GBK" w:hAnsi="Times New Roman"/>
          <w:bCs/>
          <w:color w:val="0D0D0D"/>
          <w:kern w:val="44"/>
          <w:sz w:val="32"/>
          <w:szCs w:val="32"/>
        </w:rPr>
        <w:t>2025</w:t>
      </w:r>
      <w:r>
        <w:rPr>
          <w:rFonts w:ascii="Times New Roman" w:eastAsia="方正楷体_GBK" w:hAnsi="Times New Roman"/>
          <w:bCs/>
          <w:color w:val="0D0D0D"/>
          <w:kern w:val="44"/>
          <w:sz w:val="32"/>
          <w:szCs w:val="32"/>
        </w:rPr>
        <w:t>年</w:t>
      </w:r>
      <w:r>
        <w:rPr>
          <w:rFonts w:ascii="Times New Roman" w:eastAsia="方正楷体_GBK" w:hAnsi="Times New Roman" w:hint="eastAsia"/>
          <w:bCs/>
          <w:color w:val="0D0D0D"/>
          <w:kern w:val="44"/>
          <w:sz w:val="32"/>
          <w:szCs w:val="32"/>
        </w:rPr>
        <w:t>9</w:t>
      </w:r>
      <w:r>
        <w:rPr>
          <w:rFonts w:ascii="Times New Roman" w:eastAsia="方正楷体_GBK" w:hAnsi="Times New Roman"/>
          <w:bCs/>
          <w:color w:val="0D0D0D"/>
          <w:kern w:val="44"/>
          <w:sz w:val="32"/>
          <w:szCs w:val="32"/>
        </w:rPr>
        <w:t>月</w:t>
      </w:r>
    </w:p>
    <w:p w:rsidR="00BF0D98" w:rsidRDefault="00000000">
      <w:pPr>
        <w:widowControl/>
        <w:jc w:val="left"/>
        <w:rPr>
          <w:rFonts w:ascii="Times New Roman" w:eastAsia="方正仿宋_GBK" w:hAnsi="Times New Roman"/>
          <w:sz w:val="32"/>
        </w:rPr>
      </w:pPr>
      <w:r>
        <w:rPr>
          <w:rFonts w:ascii="Times New Roman" w:eastAsia="方正仿宋_GBK" w:hAnsi="Times New Roman"/>
          <w:sz w:val="32"/>
        </w:rPr>
        <w:br w:type="page"/>
      </w:r>
    </w:p>
    <w:tbl>
      <w:tblPr>
        <w:tblW w:w="9520" w:type="dxa"/>
        <w:tblLook w:val="04A0" w:firstRow="1" w:lastRow="0" w:firstColumn="1" w:lastColumn="0" w:noHBand="0" w:noVBand="1"/>
      </w:tblPr>
      <w:tblGrid>
        <w:gridCol w:w="9520"/>
      </w:tblGrid>
      <w:tr w:rsidR="00BF0D98">
        <w:trPr>
          <w:trHeight w:val="1170"/>
        </w:trPr>
        <w:tc>
          <w:tcPr>
            <w:tcW w:w="9520" w:type="dxa"/>
            <w:tcBorders>
              <w:top w:val="nil"/>
              <w:left w:val="nil"/>
              <w:bottom w:val="nil"/>
              <w:right w:val="nil"/>
            </w:tcBorders>
            <w:noWrap/>
            <w:vAlign w:val="center"/>
          </w:tcPr>
          <w:p w:rsidR="00BF0D98" w:rsidRDefault="00000000">
            <w:pPr>
              <w:widowControl/>
              <w:jc w:val="center"/>
              <w:rPr>
                <w:rFonts w:ascii="方正黑体_GBK" w:eastAsia="方正黑体_GBK" w:hAnsi="Times New Roman"/>
                <w:color w:val="0D0D0D"/>
                <w:kern w:val="0"/>
                <w:sz w:val="36"/>
                <w:szCs w:val="36"/>
              </w:rPr>
            </w:pPr>
            <w:proofErr w:type="gramStart"/>
            <w:r>
              <w:rPr>
                <w:rFonts w:ascii="方正黑体_GBK" w:eastAsia="方正黑体_GBK" w:hAnsi="Times New Roman" w:hint="eastAsia"/>
                <w:color w:val="0D0D0D"/>
                <w:kern w:val="0"/>
                <w:sz w:val="36"/>
                <w:szCs w:val="36"/>
              </w:rPr>
              <w:lastRenderedPageBreak/>
              <w:t>目  录</w:t>
            </w:r>
            <w:proofErr w:type="gramEnd"/>
          </w:p>
        </w:tc>
      </w:tr>
      <w:tr w:rsidR="00BF0D98">
        <w:trPr>
          <w:trHeight w:val="510"/>
        </w:trPr>
        <w:tc>
          <w:tcPr>
            <w:tcW w:w="9520" w:type="dxa"/>
            <w:tcBorders>
              <w:top w:val="nil"/>
              <w:left w:val="nil"/>
              <w:bottom w:val="nil"/>
              <w:right w:val="nil"/>
            </w:tcBorders>
            <w:noWrap/>
            <w:vAlign w:val="center"/>
          </w:tcPr>
          <w:p w:rsidR="00BF0D98" w:rsidRDefault="00BF0D98">
            <w:pPr>
              <w:widowControl/>
              <w:jc w:val="left"/>
              <w:rPr>
                <w:rFonts w:ascii="Times New Roman" w:eastAsia="等线" w:hAnsi="Times New Roman"/>
                <w:color w:val="0D0D0D"/>
                <w:kern w:val="0"/>
                <w:sz w:val="32"/>
                <w:szCs w:val="32"/>
              </w:rPr>
            </w:pP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s="宋体"/>
                <w:color w:val="0D0D0D"/>
                <w:kern w:val="0"/>
                <w:sz w:val="28"/>
                <w:szCs w:val="28"/>
              </w:rPr>
            </w:pPr>
            <w:r>
              <w:rPr>
                <w:rFonts w:ascii="Times New Roman" w:eastAsia="方正仿宋_GBK" w:hAnsi="Times New Roman" w:cs="宋体" w:hint="eastAsia"/>
                <w:color w:val="0D0D0D"/>
                <w:kern w:val="0"/>
                <w:sz w:val="28"/>
                <w:szCs w:val="28"/>
              </w:rPr>
              <w:t>表</w:t>
            </w:r>
            <w:r>
              <w:rPr>
                <w:rFonts w:ascii="Times New Roman" w:eastAsia="方正仿宋_GBK" w:hAnsi="Times New Roman" w:cs="宋体" w:hint="eastAsia"/>
                <w:color w:val="0D0D0D"/>
                <w:kern w:val="0"/>
                <w:sz w:val="28"/>
                <w:szCs w:val="28"/>
              </w:rPr>
              <w:t>1</w:t>
            </w:r>
            <w:r>
              <w:rPr>
                <w:rFonts w:ascii="Times New Roman" w:eastAsia="方正仿宋_GBK" w:hAnsi="Times New Roman" w:cs="宋体" w:hint="eastAsia"/>
                <w:color w:val="0D0D0D"/>
                <w:kern w:val="0"/>
                <w:sz w:val="28"/>
                <w:szCs w:val="28"/>
              </w:rPr>
              <w:t>：</w:t>
            </w:r>
            <w:r>
              <w:rPr>
                <w:rFonts w:ascii="Times New Roman" w:eastAsia="方正仿宋_GBK" w:hAnsi="Times New Roman" w:cs="宋体" w:hint="eastAsia"/>
                <w:color w:val="0D0D0D"/>
                <w:kern w:val="0"/>
                <w:sz w:val="28"/>
                <w:szCs w:val="28"/>
              </w:rPr>
              <w:t>2024</w:t>
            </w:r>
            <w:r>
              <w:rPr>
                <w:rFonts w:ascii="Times New Roman" w:eastAsia="方正仿宋_GBK" w:hAnsi="Times New Roman" w:cs="宋体" w:hint="eastAsia"/>
                <w:color w:val="0D0D0D"/>
                <w:kern w:val="0"/>
                <w:sz w:val="28"/>
                <w:szCs w:val="28"/>
              </w:rPr>
              <w:t>年一般公共预算收支决算表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s="宋体"/>
                <w:color w:val="0D0D0D"/>
                <w:kern w:val="0"/>
                <w:sz w:val="28"/>
                <w:szCs w:val="28"/>
              </w:rPr>
            </w:pPr>
            <w:r>
              <w:rPr>
                <w:rFonts w:ascii="Times New Roman" w:eastAsia="方正仿宋_GBK" w:hAnsi="Times New Roman" w:cs="宋体" w:hint="eastAsia"/>
                <w:color w:val="0D0D0D"/>
                <w:kern w:val="0"/>
                <w:sz w:val="28"/>
                <w:szCs w:val="28"/>
              </w:rPr>
              <w:t>表</w:t>
            </w:r>
            <w:r>
              <w:rPr>
                <w:rFonts w:ascii="Times New Roman" w:eastAsia="方正仿宋_GBK" w:hAnsi="Times New Roman" w:cs="宋体" w:hint="eastAsia"/>
                <w:color w:val="0D0D0D"/>
                <w:kern w:val="0"/>
                <w:sz w:val="28"/>
                <w:szCs w:val="28"/>
              </w:rPr>
              <w:t>2</w:t>
            </w:r>
            <w:r>
              <w:rPr>
                <w:rFonts w:ascii="Times New Roman" w:eastAsia="方正仿宋_GBK" w:hAnsi="Times New Roman" w:cs="宋体" w:hint="eastAsia"/>
                <w:color w:val="0D0D0D"/>
                <w:kern w:val="0"/>
                <w:sz w:val="28"/>
                <w:szCs w:val="28"/>
              </w:rPr>
              <w:t>：</w:t>
            </w:r>
            <w:r>
              <w:rPr>
                <w:rFonts w:ascii="Times New Roman" w:eastAsia="方正仿宋_GBK" w:hAnsi="Times New Roman" w:cs="宋体" w:hint="eastAsia"/>
                <w:color w:val="0D0D0D"/>
                <w:kern w:val="0"/>
                <w:sz w:val="28"/>
                <w:szCs w:val="28"/>
              </w:rPr>
              <w:t>2024</w:t>
            </w:r>
            <w:r>
              <w:rPr>
                <w:rFonts w:ascii="Times New Roman" w:eastAsia="方正仿宋_GBK" w:hAnsi="Times New Roman" w:cs="宋体" w:hint="eastAsia"/>
                <w:color w:val="0D0D0D"/>
                <w:kern w:val="0"/>
                <w:sz w:val="28"/>
                <w:szCs w:val="28"/>
              </w:rPr>
              <w:t>年一般公共预算支出决算表（按功能分类科目）</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s="宋体"/>
                <w:color w:val="0D0D0D"/>
                <w:kern w:val="0"/>
                <w:sz w:val="28"/>
                <w:szCs w:val="28"/>
              </w:rPr>
            </w:pPr>
            <w:r>
              <w:rPr>
                <w:rFonts w:ascii="Times New Roman" w:eastAsia="方正仿宋_GBK" w:hAnsi="Times New Roman" w:cs="宋体" w:hint="eastAsia"/>
                <w:color w:val="0D0D0D"/>
                <w:kern w:val="0"/>
                <w:sz w:val="28"/>
                <w:szCs w:val="28"/>
              </w:rPr>
              <w:t>表</w:t>
            </w:r>
            <w:r>
              <w:rPr>
                <w:rFonts w:ascii="Times New Roman" w:eastAsia="方正仿宋_GBK" w:hAnsi="Times New Roman" w:cs="宋体" w:hint="eastAsia"/>
                <w:color w:val="0D0D0D"/>
                <w:kern w:val="0"/>
                <w:sz w:val="28"/>
                <w:szCs w:val="28"/>
              </w:rPr>
              <w:t>3</w:t>
            </w:r>
            <w:r>
              <w:rPr>
                <w:rFonts w:ascii="Times New Roman" w:eastAsia="方正仿宋_GBK" w:hAnsi="Times New Roman" w:cs="宋体" w:hint="eastAsia"/>
                <w:color w:val="0D0D0D"/>
                <w:kern w:val="0"/>
                <w:sz w:val="28"/>
                <w:szCs w:val="28"/>
              </w:rPr>
              <w:t>：</w:t>
            </w:r>
            <w:r>
              <w:rPr>
                <w:rFonts w:ascii="Times New Roman" w:eastAsia="方正仿宋_GBK" w:hAnsi="Times New Roman" w:cs="宋体" w:hint="eastAsia"/>
                <w:color w:val="0D0D0D"/>
                <w:kern w:val="0"/>
                <w:sz w:val="28"/>
                <w:szCs w:val="28"/>
              </w:rPr>
              <w:t>2024</w:t>
            </w:r>
            <w:r>
              <w:rPr>
                <w:rFonts w:ascii="Times New Roman" w:eastAsia="方正仿宋_GBK" w:hAnsi="Times New Roman" w:cs="宋体" w:hint="eastAsia"/>
                <w:color w:val="0D0D0D"/>
                <w:kern w:val="0"/>
                <w:sz w:val="28"/>
                <w:szCs w:val="28"/>
              </w:rPr>
              <w:t>年一般公共预算支出决算表（按经济分类科目）</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s="宋体"/>
                <w:color w:val="0D0D0D"/>
                <w:kern w:val="0"/>
                <w:sz w:val="28"/>
                <w:szCs w:val="28"/>
              </w:rPr>
            </w:pPr>
            <w:r>
              <w:rPr>
                <w:rFonts w:ascii="Times New Roman" w:eastAsia="方正仿宋_GBK" w:hAnsi="Times New Roman" w:cs="宋体" w:hint="eastAsia"/>
                <w:color w:val="0D0D0D"/>
                <w:kern w:val="0"/>
                <w:sz w:val="28"/>
                <w:szCs w:val="28"/>
              </w:rPr>
              <w:t>表</w:t>
            </w:r>
            <w:r>
              <w:rPr>
                <w:rFonts w:ascii="Times New Roman" w:eastAsia="方正仿宋_GBK" w:hAnsi="Times New Roman" w:cs="宋体" w:hint="eastAsia"/>
                <w:color w:val="0D0D0D"/>
                <w:kern w:val="0"/>
                <w:sz w:val="28"/>
                <w:szCs w:val="28"/>
              </w:rPr>
              <w:t>4</w:t>
            </w:r>
            <w:r>
              <w:rPr>
                <w:rFonts w:ascii="Times New Roman" w:eastAsia="方正仿宋_GBK" w:hAnsi="Times New Roman" w:cs="宋体" w:hint="eastAsia"/>
                <w:color w:val="0D0D0D"/>
                <w:kern w:val="0"/>
                <w:sz w:val="28"/>
                <w:szCs w:val="28"/>
              </w:rPr>
              <w:t>：</w:t>
            </w:r>
            <w:r>
              <w:rPr>
                <w:rFonts w:ascii="Times New Roman" w:eastAsia="方正仿宋_GBK" w:hAnsi="Times New Roman" w:cs="宋体" w:hint="eastAsia"/>
                <w:color w:val="0D0D0D"/>
                <w:kern w:val="0"/>
                <w:sz w:val="28"/>
                <w:szCs w:val="28"/>
              </w:rPr>
              <w:t>2024</w:t>
            </w:r>
            <w:r>
              <w:rPr>
                <w:rFonts w:ascii="Times New Roman" w:eastAsia="方正仿宋_GBK" w:hAnsi="Times New Roman" w:cs="宋体" w:hint="eastAsia"/>
                <w:color w:val="0D0D0D"/>
                <w:kern w:val="0"/>
                <w:sz w:val="28"/>
                <w:szCs w:val="28"/>
              </w:rPr>
              <w:t>年一般公共预算基本支出决算表（按经济分类科目）</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b/>
                <w:bCs/>
                <w:color w:val="0D0D0D"/>
                <w:kern w:val="0"/>
                <w:sz w:val="28"/>
                <w:szCs w:val="28"/>
              </w:rPr>
            </w:pPr>
            <w:r>
              <w:rPr>
                <w:rFonts w:ascii="Times New Roman" w:eastAsia="方正仿宋_GBK" w:hAnsi="Times New Roman" w:cs="宋体" w:hint="eastAsia"/>
                <w:color w:val="0D0D0D"/>
                <w:kern w:val="0"/>
                <w:sz w:val="28"/>
                <w:szCs w:val="28"/>
              </w:rPr>
              <w:t>表</w:t>
            </w:r>
            <w:r>
              <w:rPr>
                <w:rFonts w:ascii="Times New Roman" w:eastAsia="方正仿宋_GBK" w:hAnsi="Times New Roman" w:cs="宋体" w:hint="eastAsia"/>
                <w:color w:val="0D0D0D"/>
                <w:kern w:val="0"/>
                <w:sz w:val="28"/>
                <w:szCs w:val="28"/>
              </w:rPr>
              <w:t>5</w:t>
            </w:r>
            <w:r>
              <w:rPr>
                <w:rFonts w:ascii="Times New Roman" w:eastAsia="方正仿宋_GBK" w:hAnsi="Times New Roman" w:cs="宋体" w:hint="eastAsia"/>
                <w:color w:val="0D0D0D"/>
                <w:kern w:val="0"/>
                <w:sz w:val="28"/>
                <w:szCs w:val="28"/>
              </w:rPr>
              <w:t>：</w:t>
            </w:r>
            <w:r>
              <w:rPr>
                <w:rFonts w:ascii="Times New Roman" w:eastAsia="方正仿宋_GBK" w:hAnsi="Times New Roman" w:cs="宋体" w:hint="eastAsia"/>
                <w:color w:val="0D0D0D"/>
                <w:kern w:val="0"/>
                <w:sz w:val="28"/>
                <w:szCs w:val="28"/>
              </w:rPr>
              <w:t>2024</w:t>
            </w:r>
            <w:r>
              <w:rPr>
                <w:rFonts w:ascii="Times New Roman" w:eastAsia="方正仿宋_GBK" w:hAnsi="Times New Roman" w:cs="宋体" w:hint="eastAsia"/>
                <w:color w:val="0D0D0D"/>
                <w:kern w:val="0"/>
                <w:sz w:val="28"/>
                <w:szCs w:val="28"/>
              </w:rPr>
              <w:t>年一般公共预算转移支付收支决算表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s="宋体"/>
                <w:color w:val="0D0D0D"/>
                <w:kern w:val="0"/>
                <w:sz w:val="28"/>
                <w:szCs w:val="28"/>
              </w:rPr>
            </w:pPr>
            <w:r>
              <w:rPr>
                <w:rFonts w:ascii="Times New Roman" w:eastAsia="方正仿宋_GBK" w:hAnsi="Times New Roman" w:cs="宋体" w:hint="eastAsia"/>
                <w:color w:val="0D0D0D"/>
                <w:kern w:val="0"/>
                <w:sz w:val="28"/>
                <w:szCs w:val="28"/>
              </w:rPr>
              <w:t>表</w:t>
            </w:r>
            <w:r>
              <w:rPr>
                <w:rFonts w:ascii="Times New Roman" w:eastAsia="方正仿宋_GBK" w:hAnsi="Times New Roman" w:cs="宋体" w:hint="eastAsia"/>
                <w:color w:val="0D0D0D"/>
                <w:kern w:val="0"/>
                <w:sz w:val="28"/>
                <w:szCs w:val="28"/>
              </w:rPr>
              <w:t>6</w:t>
            </w:r>
            <w:r>
              <w:rPr>
                <w:rFonts w:ascii="Times New Roman" w:eastAsia="方正仿宋_GBK" w:hAnsi="Times New Roman" w:cs="宋体" w:hint="eastAsia"/>
                <w:color w:val="0D0D0D"/>
                <w:kern w:val="0"/>
                <w:sz w:val="28"/>
                <w:szCs w:val="28"/>
              </w:rPr>
              <w:t>：</w:t>
            </w:r>
            <w:r>
              <w:rPr>
                <w:rFonts w:ascii="Times New Roman" w:eastAsia="方正仿宋_GBK" w:hAnsi="Times New Roman" w:cs="宋体" w:hint="eastAsia"/>
                <w:color w:val="0D0D0D"/>
                <w:kern w:val="0"/>
                <w:sz w:val="28"/>
                <w:szCs w:val="28"/>
              </w:rPr>
              <w:t>2024</w:t>
            </w:r>
            <w:r>
              <w:rPr>
                <w:rFonts w:ascii="Times New Roman" w:eastAsia="方正仿宋_GBK" w:hAnsi="Times New Roman" w:cs="宋体" w:hint="eastAsia"/>
                <w:color w:val="0D0D0D"/>
                <w:kern w:val="0"/>
                <w:sz w:val="28"/>
                <w:szCs w:val="28"/>
              </w:rPr>
              <w:t>年一般公共预算转移支付支出决算表（分项目）</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7</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年政府性基金预算收支</w:t>
            </w:r>
            <w:r>
              <w:rPr>
                <w:rFonts w:ascii="Times New Roman" w:eastAsia="方正仿宋_GBK" w:hAnsi="Times New Roman" w:cs="宋体" w:hint="eastAsia"/>
                <w:color w:val="0D0D0D"/>
                <w:kern w:val="0"/>
                <w:sz w:val="28"/>
                <w:szCs w:val="28"/>
              </w:rPr>
              <w:t>决算</w:t>
            </w:r>
            <w:r>
              <w:rPr>
                <w:rFonts w:ascii="Times New Roman" w:eastAsia="方正仿宋_GBK" w:hAnsi="Times New Roman" w:hint="eastAsia"/>
                <w:color w:val="0D0D0D"/>
                <w:kern w:val="0"/>
                <w:sz w:val="28"/>
                <w:szCs w:val="28"/>
              </w:rPr>
              <w:t>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8</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年政府性基金预算收入</w:t>
            </w:r>
            <w:r>
              <w:rPr>
                <w:rFonts w:ascii="Times New Roman" w:eastAsia="方正仿宋_GBK" w:hAnsi="Times New Roman" w:cs="宋体" w:hint="eastAsia"/>
                <w:color w:val="0D0D0D"/>
                <w:kern w:val="0"/>
                <w:sz w:val="28"/>
                <w:szCs w:val="28"/>
              </w:rPr>
              <w:t>决算</w:t>
            </w:r>
            <w:r>
              <w:rPr>
                <w:rFonts w:ascii="Times New Roman" w:eastAsia="方正仿宋_GBK" w:hAnsi="Times New Roman" w:hint="eastAsia"/>
                <w:color w:val="0D0D0D"/>
                <w:kern w:val="0"/>
                <w:sz w:val="28"/>
                <w:szCs w:val="28"/>
              </w:rPr>
              <w:t>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9</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年政府性基金预算支出</w:t>
            </w:r>
            <w:r>
              <w:rPr>
                <w:rFonts w:ascii="Times New Roman" w:eastAsia="方正仿宋_GBK" w:hAnsi="Times New Roman" w:cs="宋体" w:hint="eastAsia"/>
                <w:color w:val="0D0D0D"/>
                <w:kern w:val="0"/>
                <w:sz w:val="28"/>
                <w:szCs w:val="28"/>
              </w:rPr>
              <w:t>决算</w:t>
            </w:r>
            <w:r>
              <w:rPr>
                <w:rFonts w:ascii="Times New Roman" w:eastAsia="方正仿宋_GBK" w:hAnsi="Times New Roman" w:hint="eastAsia"/>
                <w:color w:val="0D0D0D"/>
                <w:kern w:val="0"/>
                <w:sz w:val="28"/>
                <w:szCs w:val="28"/>
              </w:rPr>
              <w:t>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10</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年政府性基金转移支付收支</w:t>
            </w:r>
            <w:r>
              <w:rPr>
                <w:rFonts w:ascii="Times New Roman" w:eastAsia="方正仿宋_GBK" w:hAnsi="Times New Roman" w:cs="宋体" w:hint="eastAsia"/>
                <w:color w:val="0D0D0D"/>
                <w:kern w:val="0"/>
                <w:sz w:val="28"/>
                <w:szCs w:val="28"/>
              </w:rPr>
              <w:t>决算</w:t>
            </w:r>
            <w:r>
              <w:rPr>
                <w:rFonts w:ascii="Times New Roman" w:eastAsia="方正仿宋_GBK" w:hAnsi="Times New Roman" w:hint="eastAsia"/>
                <w:color w:val="0D0D0D"/>
                <w:kern w:val="0"/>
                <w:sz w:val="28"/>
                <w:szCs w:val="28"/>
              </w:rPr>
              <w:t>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方正仿宋_GBK" w:hAnsi="Times New Roman" w:hint="eastAsia"/>
                <w:color w:val="0D0D0D"/>
                <w:kern w:val="0"/>
                <w:sz w:val="28"/>
                <w:szCs w:val="28"/>
              </w:rPr>
              <w:t>11</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年政府性基金转移支付支出决算表（分项目）</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12</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年国有资本经营预算收支</w:t>
            </w:r>
            <w:r>
              <w:rPr>
                <w:rFonts w:ascii="Times New Roman" w:eastAsia="方正仿宋_GBK" w:hAnsi="Times New Roman" w:cs="宋体" w:hint="eastAsia"/>
                <w:color w:val="0D0D0D"/>
                <w:kern w:val="0"/>
                <w:sz w:val="28"/>
                <w:szCs w:val="28"/>
              </w:rPr>
              <w:t>决算</w:t>
            </w:r>
            <w:r>
              <w:rPr>
                <w:rFonts w:ascii="Times New Roman" w:eastAsia="方正仿宋_GBK" w:hAnsi="Times New Roman" w:hint="eastAsia"/>
                <w:color w:val="0D0D0D"/>
                <w:kern w:val="0"/>
                <w:sz w:val="28"/>
                <w:szCs w:val="28"/>
              </w:rPr>
              <w:t>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13</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年国有资本经营预算本级收入</w:t>
            </w:r>
            <w:r>
              <w:rPr>
                <w:rFonts w:ascii="Times New Roman" w:eastAsia="方正仿宋_GBK" w:hAnsi="Times New Roman" w:cs="宋体" w:hint="eastAsia"/>
                <w:color w:val="0D0D0D"/>
                <w:kern w:val="0"/>
                <w:sz w:val="28"/>
                <w:szCs w:val="28"/>
              </w:rPr>
              <w:t>决算</w:t>
            </w:r>
            <w:r>
              <w:rPr>
                <w:rFonts w:ascii="Times New Roman" w:eastAsia="方正仿宋_GBK" w:hAnsi="Times New Roman" w:hint="eastAsia"/>
                <w:color w:val="0D0D0D"/>
                <w:kern w:val="0"/>
                <w:sz w:val="28"/>
                <w:szCs w:val="28"/>
              </w:rPr>
              <w:t>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14</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年国有资本经营预算本级支出</w:t>
            </w:r>
            <w:r>
              <w:rPr>
                <w:rFonts w:ascii="Times New Roman" w:eastAsia="方正仿宋_GBK" w:hAnsi="Times New Roman" w:cs="宋体" w:hint="eastAsia"/>
                <w:color w:val="0D0D0D"/>
                <w:kern w:val="0"/>
                <w:sz w:val="28"/>
                <w:szCs w:val="28"/>
              </w:rPr>
              <w:t>决算</w:t>
            </w:r>
            <w:r>
              <w:rPr>
                <w:rFonts w:ascii="Times New Roman" w:eastAsia="方正仿宋_GBK" w:hAnsi="Times New Roman" w:hint="eastAsia"/>
                <w:color w:val="0D0D0D"/>
                <w:kern w:val="0"/>
                <w:sz w:val="28"/>
                <w:szCs w:val="28"/>
              </w:rPr>
              <w:t>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方正仿宋_GBK" w:hAnsi="Times New Roman" w:hint="eastAsia"/>
                <w:color w:val="0D0D0D"/>
                <w:kern w:val="0"/>
                <w:sz w:val="28"/>
                <w:szCs w:val="28"/>
              </w:rPr>
              <w:t>15</w:t>
            </w:r>
            <w:r>
              <w:rPr>
                <w:rFonts w:ascii="Times New Roman" w:eastAsia="方正仿宋_GBK" w:hAnsi="Times New Roman" w:hint="eastAsia"/>
                <w:color w:val="0D0D0D"/>
                <w:kern w:val="0"/>
                <w:sz w:val="28"/>
                <w:szCs w:val="28"/>
              </w:rPr>
              <w:t>：</w:t>
            </w:r>
            <w:r>
              <w:rPr>
                <w:rFonts w:ascii="Times New Roman" w:eastAsia="方正仿宋_GBK" w:hAnsi="Times New Roman" w:hint="eastAsia"/>
                <w:color w:val="0D0D0D"/>
                <w:kern w:val="0"/>
                <w:sz w:val="28"/>
                <w:szCs w:val="28"/>
              </w:rPr>
              <w:t>2024</w:t>
            </w:r>
            <w:r>
              <w:rPr>
                <w:rFonts w:ascii="Times New Roman" w:eastAsia="方正仿宋_GBK" w:hAnsi="Times New Roman" w:hint="eastAsia"/>
                <w:color w:val="0D0D0D"/>
                <w:kern w:val="0"/>
                <w:sz w:val="28"/>
                <w:szCs w:val="28"/>
              </w:rPr>
              <w:t>年社会保险基金预算收入决算表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方正仿宋_GBK" w:hAnsi="Times New Roman" w:hint="eastAsia"/>
                <w:color w:val="0D0D0D"/>
                <w:kern w:val="0"/>
                <w:sz w:val="28"/>
                <w:szCs w:val="28"/>
              </w:rPr>
              <w:t>16</w:t>
            </w:r>
            <w:r>
              <w:rPr>
                <w:rFonts w:ascii="Times New Roman" w:eastAsia="方正仿宋_GBK" w:hAnsi="Times New Roman" w:hint="eastAsia"/>
                <w:color w:val="0D0D0D"/>
                <w:kern w:val="0"/>
                <w:sz w:val="28"/>
                <w:szCs w:val="28"/>
              </w:rPr>
              <w:t>：</w:t>
            </w:r>
            <w:r>
              <w:rPr>
                <w:rFonts w:ascii="Times New Roman" w:eastAsia="方正仿宋_GBK" w:hAnsi="Times New Roman" w:hint="eastAsia"/>
                <w:color w:val="0D0D0D"/>
                <w:kern w:val="0"/>
                <w:sz w:val="28"/>
                <w:szCs w:val="28"/>
              </w:rPr>
              <w:t>2024</w:t>
            </w:r>
            <w:r>
              <w:rPr>
                <w:rFonts w:ascii="Times New Roman" w:eastAsia="方正仿宋_GBK" w:hAnsi="Times New Roman" w:hint="eastAsia"/>
                <w:color w:val="0D0D0D"/>
                <w:kern w:val="0"/>
                <w:sz w:val="28"/>
                <w:szCs w:val="28"/>
              </w:rPr>
              <w:t>年社会保险基金预算支出决算表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方正仿宋_GBK" w:hAnsi="Times New Roman" w:hint="eastAsia"/>
                <w:color w:val="0D0D0D"/>
                <w:kern w:val="0"/>
                <w:sz w:val="28"/>
                <w:szCs w:val="28"/>
              </w:rPr>
              <w:t>17</w:t>
            </w:r>
            <w:r>
              <w:rPr>
                <w:rFonts w:ascii="Times New Roman" w:eastAsia="方正仿宋_GBK" w:hAnsi="Times New Roman" w:hint="eastAsia"/>
                <w:color w:val="0D0D0D"/>
                <w:kern w:val="0"/>
                <w:sz w:val="28"/>
                <w:szCs w:val="28"/>
              </w:rPr>
              <w:t>：</w:t>
            </w:r>
            <w:r>
              <w:rPr>
                <w:rFonts w:ascii="Times New Roman" w:eastAsia="方正仿宋_GBK" w:hAnsi="Times New Roman" w:hint="eastAsia"/>
                <w:color w:val="0D0D0D"/>
                <w:kern w:val="0"/>
                <w:sz w:val="28"/>
                <w:szCs w:val="28"/>
              </w:rPr>
              <w:t>2024</w:t>
            </w:r>
            <w:r>
              <w:rPr>
                <w:rFonts w:ascii="Times New Roman" w:eastAsia="方正仿宋_GBK" w:hAnsi="Times New Roman" w:hint="eastAsia"/>
                <w:color w:val="0D0D0D"/>
                <w:kern w:val="0"/>
                <w:sz w:val="28"/>
                <w:szCs w:val="28"/>
              </w:rPr>
              <w:t>年社会保险基金预算结余决算表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方正仿宋_GBK" w:hAnsi="Times New Roman" w:hint="eastAsia"/>
                <w:color w:val="0D0D0D"/>
                <w:kern w:val="0"/>
                <w:sz w:val="28"/>
                <w:szCs w:val="28"/>
              </w:rPr>
              <w:t>18</w:t>
            </w:r>
            <w:r>
              <w:rPr>
                <w:rFonts w:ascii="Times New Roman" w:eastAsia="方正仿宋_GBK" w:hAnsi="Times New Roman" w:hint="eastAsia"/>
                <w:color w:val="0D0D0D"/>
                <w:kern w:val="0"/>
                <w:sz w:val="28"/>
                <w:szCs w:val="28"/>
              </w:rPr>
              <w:t>：</w:t>
            </w:r>
            <w:r>
              <w:rPr>
                <w:rFonts w:ascii="Times New Roman" w:eastAsia="方正仿宋_GBK" w:hAnsi="Times New Roman" w:hint="eastAsia"/>
                <w:color w:val="0D0D0D"/>
                <w:kern w:val="0"/>
                <w:sz w:val="28"/>
                <w:szCs w:val="28"/>
              </w:rPr>
              <w:t>2024</w:t>
            </w:r>
            <w:r>
              <w:rPr>
                <w:rFonts w:ascii="Times New Roman" w:eastAsia="方正仿宋_GBK" w:hAnsi="Times New Roman" w:hint="eastAsia"/>
                <w:color w:val="0D0D0D"/>
                <w:kern w:val="0"/>
                <w:sz w:val="28"/>
                <w:szCs w:val="28"/>
              </w:rPr>
              <w:t>年“三公”经费决算表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19</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年地方政府债务限额及余额决算情况表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20</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年地方政府债券发行及还本付息情况表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方正仿宋_GBK" w:hAnsi="Times New Roman" w:hint="eastAsia"/>
                <w:color w:val="0D0D0D"/>
                <w:kern w:val="0"/>
                <w:sz w:val="28"/>
                <w:szCs w:val="28"/>
              </w:rPr>
              <w:t>21</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3</w:t>
            </w:r>
            <w:r>
              <w:rPr>
                <w:rFonts w:ascii="Times New Roman" w:eastAsia="方正仿宋_GBK" w:hAnsi="Times New Roman" w:hint="eastAsia"/>
                <w:color w:val="0D0D0D"/>
                <w:kern w:val="0"/>
                <w:sz w:val="28"/>
                <w:szCs w:val="28"/>
              </w:rPr>
              <w:t>年和</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年地方政府一般债务余额情况表</w:t>
            </w:r>
          </w:p>
        </w:tc>
      </w:tr>
      <w:tr w:rsidR="00BF0D98">
        <w:trPr>
          <w:trHeight w:val="510"/>
        </w:trPr>
        <w:tc>
          <w:tcPr>
            <w:tcW w:w="9520" w:type="dxa"/>
            <w:tcBorders>
              <w:top w:val="nil"/>
              <w:left w:val="nil"/>
              <w:bottom w:val="nil"/>
              <w:right w:val="nil"/>
            </w:tcBorders>
            <w:noWrap/>
            <w:vAlign w:val="center"/>
          </w:tcPr>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lastRenderedPageBreak/>
              <w:t>表</w:t>
            </w:r>
            <w:r>
              <w:rPr>
                <w:rFonts w:ascii="Times New Roman" w:eastAsia="方正仿宋_GBK" w:hAnsi="Times New Roman" w:hint="eastAsia"/>
                <w:color w:val="0D0D0D"/>
                <w:kern w:val="0"/>
                <w:sz w:val="28"/>
                <w:szCs w:val="28"/>
              </w:rPr>
              <w:t>22</w:t>
            </w:r>
            <w:r>
              <w:rPr>
                <w:rFonts w:ascii="Times New Roman" w:eastAsia="方正仿宋_GBK" w:hAnsi="Times New Roman" w:hint="eastAsia"/>
                <w:color w:val="0D0D0D"/>
                <w:kern w:val="0"/>
                <w:sz w:val="28"/>
                <w:szCs w:val="28"/>
              </w:rPr>
              <w:t>：</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3</w:t>
            </w:r>
            <w:r>
              <w:rPr>
                <w:rFonts w:ascii="Times New Roman" w:eastAsia="方正仿宋_GBK" w:hAnsi="Times New Roman" w:hint="eastAsia"/>
                <w:color w:val="0D0D0D"/>
                <w:kern w:val="0"/>
                <w:sz w:val="28"/>
                <w:szCs w:val="28"/>
              </w:rPr>
              <w:t>年和</w:t>
            </w:r>
            <w:r>
              <w:rPr>
                <w:rFonts w:ascii="Times New Roman" w:eastAsia="等线" w:hAnsi="Times New Roman"/>
                <w:color w:val="0D0D0D"/>
                <w:kern w:val="0"/>
                <w:sz w:val="28"/>
                <w:szCs w:val="28"/>
              </w:rPr>
              <w:t>202</w:t>
            </w:r>
            <w:r>
              <w:rPr>
                <w:rFonts w:ascii="Times New Roman" w:eastAsia="等线" w:hAnsi="Times New Roman" w:hint="eastAsia"/>
                <w:color w:val="0D0D0D"/>
                <w:kern w:val="0"/>
                <w:sz w:val="28"/>
                <w:szCs w:val="28"/>
              </w:rPr>
              <w:t>4</w:t>
            </w:r>
            <w:r>
              <w:rPr>
                <w:rFonts w:ascii="Times New Roman" w:eastAsia="方正仿宋_GBK" w:hAnsi="Times New Roman" w:hint="eastAsia"/>
                <w:color w:val="0D0D0D"/>
                <w:kern w:val="0"/>
                <w:sz w:val="28"/>
                <w:szCs w:val="28"/>
              </w:rPr>
              <w:t>年地方政府专项债务余额情况表</w:t>
            </w:r>
          </w:p>
        </w:tc>
      </w:tr>
      <w:tr w:rsidR="00BF0D98">
        <w:trPr>
          <w:trHeight w:val="510"/>
        </w:trPr>
        <w:tc>
          <w:tcPr>
            <w:tcW w:w="9520" w:type="dxa"/>
            <w:tcBorders>
              <w:top w:val="nil"/>
              <w:left w:val="nil"/>
              <w:bottom w:val="nil"/>
              <w:right w:val="nil"/>
            </w:tcBorders>
            <w:shd w:val="clear" w:color="000000" w:fill="FFFFFF"/>
            <w:noWrap/>
            <w:vAlign w:val="center"/>
          </w:tcPr>
          <w:p w:rsidR="00BF0D98" w:rsidRDefault="00000000">
            <w:pPr>
              <w:widowControl/>
              <w:jc w:val="left"/>
              <w:rPr>
                <w:rFonts w:ascii="Times New Roman" w:eastAsia="方正仿宋_GBK"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方正仿宋_GBK" w:hAnsi="Times New Roman" w:hint="eastAsia"/>
                <w:color w:val="0D0D0D"/>
                <w:kern w:val="0"/>
                <w:sz w:val="28"/>
                <w:szCs w:val="28"/>
              </w:rPr>
              <w:t>23</w:t>
            </w:r>
            <w:r>
              <w:rPr>
                <w:rFonts w:ascii="Times New Roman" w:eastAsia="方正仿宋_GBK" w:hAnsi="Times New Roman" w:hint="eastAsia"/>
                <w:color w:val="0D0D0D"/>
                <w:kern w:val="0"/>
                <w:sz w:val="28"/>
                <w:szCs w:val="28"/>
              </w:rPr>
              <w:t>：</w:t>
            </w:r>
            <w:r w:rsidR="00951030">
              <w:rPr>
                <w:rFonts w:ascii="Times New Roman" w:eastAsia="等线" w:hAnsi="Times New Roman"/>
                <w:color w:val="0D0D0D"/>
                <w:kern w:val="0"/>
                <w:sz w:val="28"/>
                <w:szCs w:val="28"/>
              </w:rPr>
              <w:t>202</w:t>
            </w:r>
            <w:r w:rsidR="00951030">
              <w:rPr>
                <w:rFonts w:ascii="Times New Roman" w:eastAsia="等线" w:hAnsi="Times New Roman" w:hint="eastAsia"/>
                <w:color w:val="0D0D0D"/>
                <w:kern w:val="0"/>
                <w:sz w:val="28"/>
                <w:szCs w:val="28"/>
              </w:rPr>
              <w:t>4</w:t>
            </w:r>
            <w:r w:rsidR="00951030">
              <w:rPr>
                <w:rFonts w:ascii="Times New Roman" w:eastAsia="方正仿宋_GBK" w:hAnsi="Times New Roman" w:hint="eastAsia"/>
                <w:color w:val="0D0D0D"/>
                <w:kern w:val="0"/>
                <w:sz w:val="28"/>
                <w:szCs w:val="28"/>
              </w:rPr>
              <w:t>年专项债券项目实施进度表</w:t>
            </w:r>
          </w:p>
          <w:p w:rsidR="00BF0D98" w:rsidRDefault="00000000">
            <w:pPr>
              <w:widowControl/>
              <w:jc w:val="left"/>
              <w:rPr>
                <w:rFonts w:ascii="Times New Roman" w:eastAsia="等线" w:hAnsi="Times New Roman"/>
                <w:color w:val="0D0D0D"/>
                <w:kern w:val="0"/>
                <w:sz w:val="28"/>
                <w:szCs w:val="28"/>
              </w:rPr>
            </w:pPr>
            <w:r>
              <w:rPr>
                <w:rFonts w:ascii="Times New Roman" w:eastAsia="方正仿宋_GBK" w:hAnsi="Times New Roman" w:hint="eastAsia"/>
                <w:color w:val="0D0D0D"/>
                <w:kern w:val="0"/>
                <w:sz w:val="28"/>
                <w:szCs w:val="28"/>
              </w:rPr>
              <w:t>表</w:t>
            </w:r>
            <w:r>
              <w:rPr>
                <w:rFonts w:ascii="Times New Roman" w:eastAsia="等线" w:hAnsi="Times New Roman" w:hint="eastAsia"/>
                <w:color w:val="0D0D0D"/>
                <w:kern w:val="0"/>
                <w:sz w:val="28"/>
                <w:szCs w:val="28"/>
              </w:rPr>
              <w:t>24</w:t>
            </w:r>
            <w:r>
              <w:rPr>
                <w:rFonts w:ascii="Times New Roman" w:eastAsia="方正仿宋_GBK" w:hAnsi="Times New Roman" w:hint="eastAsia"/>
                <w:color w:val="0D0D0D"/>
                <w:kern w:val="0"/>
                <w:sz w:val="28"/>
                <w:szCs w:val="28"/>
              </w:rPr>
              <w:t>：</w:t>
            </w:r>
            <w:r w:rsidR="00951030">
              <w:rPr>
                <w:rFonts w:ascii="Times New Roman" w:eastAsia="方正仿宋_GBK" w:hAnsi="Times New Roman" w:hint="eastAsia"/>
                <w:color w:val="0D0D0D"/>
                <w:kern w:val="0"/>
                <w:sz w:val="28"/>
                <w:szCs w:val="28"/>
              </w:rPr>
              <w:t>2024</w:t>
            </w:r>
            <w:r w:rsidR="00951030">
              <w:rPr>
                <w:rFonts w:ascii="Times New Roman" w:eastAsia="方正仿宋_GBK" w:hAnsi="Times New Roman" w:hint="eastAsia"/>
                <w:color w:val="0D0D0D"/>
                <w:kern w:val="0"/>
                <w:sz w:val="28"/>
                <w:szCs w:val="28"/>
              </w:rPr>
              <w:t>年重点绩效评价结果情况表</w:t>
            </w:r>
          </w:p>
        </w:tc>
      </w:tr>
      <w:tr w:rsidR="00BF0D98">
        <w:trPr>
          <w:trHeight w:val="510"/>
        </w:trPr>
        <w:tc>
          <w:tcPr>
            <w:tcW w:w="9520" w:type="dxa"/>
            <w:tcBorders>
              <w:top w:val="nil"/>
              <w:left w:val="nil"/>
              <w:bottom w:val="nil"/>
              <w:right w:val="nil"/>
            </w:tcBorders>
            <w:noWrap/>
            <w:vAlign w:val="center"/>
          </w:tcPr>
          <w:p w:rsidR="00BF0D98" w:rsidRDefault="00BF0D98">
            <w:pPr>
              <w:widowControl/>
              <w:jc w:val="left"/>
              <w:rPr>
                <w:rFonts w:ascii="Times New Roman" w:eastAsia="方正仿宋_GBK" w:hAnsi="Times New Roman"/>
                <w:color w:val="0D0D0D"/>
                <w:kern w:val="0"/>
                <w:sz w:val="28"/>
                <w:szCs w:val="28"/>
              </w:rPr>
            </w:pPr>
          </w:p>
        </w:tc>
      </w:tr>
    </w:tbl>
    <w:p w:rsidR="00BF0D98" w:rsidRDefault="00BF0D98">
      <w:pPr>
        <w:spacing w:line="600" w:lineRule="exact"/>
        <w:ind w:firstLineChars="62" w:firstLine="198"/>
        <w:rPr>
          <w:rFonts w:ascii="Times New Roman" w:eastAsia="方正仿宋_GBK" w:hAnsi="Times New Roman"/>
          <w:sz w:val="32"/>
        </w:rPr>
      </w:pPr>
    </w:p>
    <w:p w:rsidR="00BF0D98" w:rsidRDefault="00000000">
      <w:pPr>
        <w:widowControl/>
        <w:jc w:val="left"/>
        <w:rPr>
          <w:rFonts w:ascii="Times New Roman" w:eastAsia="方正仿宋_GBK" w:hAnsi="Times New Roman"/>
          <w:sz w:val="32"/>
        </w:rPr>
      </w:pPr>
      <w:r>
        <w:rPr>
          <w:rFonts w:ascii="Times New Roman" w:eastAsia="方正仿宋_GBK" w:hAnsi="Times New Roman"/>
          <w:sz w:val="32"/>
        </w:rPr>
        <w:br w:type="page"/>
      </w:r>
    </w:p>
    <w:p w:rsidR="00BF0D98" w:rsidRDefault="00BF0D98">
      <w:pPr>
        <w:spacing w:line="600" w:lineRule="exact"/>
        <w:ind w:firstLineChars="62" w:firstLine="198"/>
        <w:rPr>
          <w:rFonts w:ascii="Times New Roman" w:eastAsia="方正仿宋_GBK" w:hAnsi="Times New Roman"/>
          <w:sz w:val="32"/>
        </w:rPr>
        <w:sectPr w:rsidR="00BF0D98">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1531" w:gutter="0"/>
          <w:cols w:space="425"/>
          <w:docGrid w:type="lines" w:linePitch="435"/>
        </w:sectPr>
      </w:pPr>
    </w:p>
    <w:p w:rsidR="00BF0D98" w:rsidRDefault="00000000" w:rsidP="009A3D02">
      <w:pPr>
        <w:widowControl/>
        <w:ind w:leftChars="-606" w:left="1" w:hangingChars="398" w:hanging="1274"/>
        <w:jc w:val="left"/>
        <w:rPr>
          <w:rFonts w:ascii="Times New Roman" w:eastAsia="方正黑体_GBK" w:hAnsi="Times New Roman"/>
          <w:sz w:val="32"/>
        </w:rPr>
      </w:pPr>
      <w:r>
        <w:rPr>
          <w:rFonts w:ascii="Times New Roman" w:eastAsia="方正黑体_GBK" w:hAnsi="Times New Roman"/>
          <w:sz w:val="32"/>
        </w:rPr>
        <w:lastRenderedPageBreak/>
        <w:t>表</w:t>
      </w:r>
      <w:r>
        <w:rPr>
          <w:rFonts w:ascii="Times New Roman" w:eastAsia="方正黑体_GBK" w:hAnsi="Times New Roman"/>
          <w:sz w:val="32"/>
        </w:rPr>
        <w:t>1</w:t>
      </w:r>
    </w:p>
    <w:p w:rsidR="00BF0D98" w:rsidRDefault="00000000">
      <w:pPr>
        <w:widowControl/>
        <w:jc w:val="center"/>
        <w:rPr>
          <w:rFonts w:ascii="Times New Roman" w:eastAsia="方正小标宋_GBK" w:hAnsi="Times New Roman"/>
          <w:sz w:val="32"/>
        </w:rPr>
      </w:pPr>
      <w:r>
        <w:rPr>
          <w:rFonts w:ascii="Times New Roman" w:eastAsia="方正小标宋_GBK" w:hAnsi="Times New Roman"/>
          <w:sz w:val="36"/>
          <w:szCs w:val="24"/>
        </w:rPr>
        <w:t>2024</w:t>
      </w:r>
      <w:r>
        <w:rPr>
          <w:rFonts w:ascii="Times New Roman" w:eastAsia="方正小标宋_GBK" w:hAnsi="Times New Roman"/>
          <w:sz w:val="36"/>
          <w:szCs w:val="24"/>
        </w:rPr>
        <w:t>年一般公共预算收支</w:t>
      </w:r>
      <w:r>
        <w:rPr>
          <w:rFonts w:ascii="Times New Roman" w:eastAsia="方正小标宋_GBK" w:hAnsi="Times New Roman" w:hint="eastAsia"/>
          <w:sz w:val="36"/>
          <w:szCs w:val="24"/>
        </w:rPr>
        <w:t>决算</w:t>
      </w:r>
      <w:r>
        <w:rPr>
          <w:rFonts w:ascii="Times New Roman" w:eastAsia="方正小标宋_GBK" w:hAnsi="Times New Roman"/>
          <w:sz w:val="36"/>
          <w:szCs w:val="24"/>
        </w:rPr>
        <w:t>表</w:t>
      </w:r>
    </w:p>
    <w:p w:rsidR="00BF0D98" w:rsidRDefault="00000000" w:rsidP="009A3D02">
      <w:pPr>
        <w:widowControl/>
        <w:ind w:rightChars="-743" w:right="-1560"/>
        <w:jc w:val="right"/>
        <w:rPr>
          <w:rFonts w:ascii="Times New Roman" w:eastAsia="方正楷体_GBK" w:hAnsi="Times New Roman"/>
          <w:sz w:val="32"/>
        </w:rPr>
      </w:pPr>
      <w:r>
        <w:rPr>
          <w:rFonts w:ascii="Times New Roman" w:eastAsia="方正楷体_GBK" w:hAnsi="Times New Roman"/>
          <w:sz w:val="24"/>
          <w:szCs w:val="20"/>
        </w:rPr>
        <w:t>单位：万元</w:t>
      </w:r>
    </w:p>
    <w:tbl>
      <w:tblPr>
        <w:tblW w:w="15593" w:type="dxa"/>
        <w:tblInd w:w="-1281" w:type="dxa"/>
        <w:tblLook w:val="04A0" w:firstRow="1" w:lastRow="0" w:firstColumn="1" w:lastColumn="0" w:noHBand="0" w:noVBand="1"/>
      </w:tblPr>
      <w:tblGrid>
        <w:gridCol w:w="2977"/>
        <w:gridCol w:w="1056"/>
        <w:gridCol w:w="1176"/>
        <w:gridCol w:w="1176"/>
        <w:gridCol w:w="845"/>
        <w:gridCol w:w="1030"/>
        <w:gridCol w:w="1947"/>
        <w:gridCol w:w="996"/>
        <w:gridCol w:w="1176"/>
        <w:gridCol w:w="1176"/>
        <w:gridCol w:w="1046"/>
        <w:gridCol w:w="992"/>
      </w:tblGrid>
      <w:tr w:rsidR="00BF0D98">
        <w:trPr>
          <w:trHeight w:val="648"/>
          <w:tblHeader/>
        </w:trPr>
        <w:tc>
          <w:tcPr>
            <w:tcW w:w="2977"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收</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入</w:t>
            </w:r>
          </w:p>
        </w:tc>
        <w:tc>
          <w:tcPr>
            <w:tcW w:w="105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年初</w:t>
            </w:r>
          </w:p>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预算</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调整</w:t>
            </w:r>
            <w:r>
              <w:rPr>
                <w:rFonts w:ascii="Times New Roman" w:eastAsia="方正黑体_GBK" w:hAnsi="Times New Roman"/>
                <w:kern w:val="0"/>
                <w:sz w:val="24"/>
                <w:szCs w:val="24"/>
              </w:rPr>
              <w:br/>
            </w:r>
            <w:r>
              <w:rPr>
                <w:rFonts w:ascii="Times New Roman" w:eastAsia="方正黑体_GBK" w:hAnsi="Times New Roman"/>
                <w:kern w:val="0"/>
                <w:sz w:val="24"/>
                <w:szCs w:val="24"/>
              </w:rPr>
              <w:t>预算</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845"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数为调整预算的</w:t>
            </w:r>
            <w:r>
              <w:rPr>
                <w:rFonts w:ascii="Times New Roman" w:eastAsia="方正黑体_GBK" w:hAnsi="Times New Roman"/>
                <w:kern w:val="0"/>
                <w:sz w:val="24"/>
                <w:szCs w:val="24"/>
              </w:rPr>
              <w:t>%</w:t>
            </w:r>
          </w:p>
        </w:tc>
        <w:tc>
          <w:tcPr>
            <w:tcW w:w="1030"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数为上年决算数的</w:t>
            </w:r>
            <w:r>
              <w:rPr>
                <w:rFonts w:ascii="Times New Roman" w:eastAsia="方正黑体_GBK" w:hAnsi="Times New Roman"/>
                <w:kern w:val="0"/>
                <w:sz w:val="24"/>
                <w:szCs w:val="24"/>
              </w:rPr>
              <w:t>%</w:t>
            </w:r>
          </w:p>
        </w:tc>
        <w:tc>
          <w:tcPr>
            <w:tcW w:w="1947"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支</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出</w:t>
            </w:r>
          </w:p>
        </w:tc>
        <w:tc>
          <w:tcPr>
            <w:tcW w:w="99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年初预算</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调整</w:t>
            </w:r>
            <w:r>
              <w:rPr>
                <w:rFonts w:ascii="Times New Roman" w:eastAsia="方正黑体_GBK" w:hAnsi="Times New Roman"/>
                <w:kern w:val="0"/>
                <w:sz w:val="24"/>
                <w:szCs w:val="24"/>
              </w:rPr>
              <w:br/>
            </w:r>
            <w:r>
              <w:rPr>
                <w:rFonts w:ascii="Times New Roman" w:eastAsia="方正黑体_GBK" w:hAnsi="Times New Roman"/>
                <w:kern w:val="0"/>
                <w:sz w:val="24"/>
                <w:szCs w:val="24"/>
              </w:rPr>
              <w:t>预算</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1046"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数为调整预算的</w:t>
            </w:r>
            <w:r>
              <w:rPr>
                <w:rFonts w:ascii="Times New Roman" w:eastAsia="方正黑体_GBK" w:hAnsi="Times New Roman"/>
                <w:kern w:val="0"/>
                <w:sz w:val="24"/>
                <w:szCs w:val="24"/>
              </w:rPr>
              <w:t>%</w:t>
            </w:r>
          </w:p>
        </w:tc>
        <w:tc>
          <w:tcPr>
            <w:tcW w:w="992"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数为上年决算数的</w:t>
            </w:r>
            <w:r>
              <w:rPr>
                <w:rFonts w:ascii="Times New Roman" w:eastAsia="方正黑体_GBK" w:hAnsi="Times New Roman"/>
                <w:kern w:val="0"/>
                <w:sz w:val="24"/>
                <w:szCs w:val="24"/>
              </w:rPr>
              <w:t>%</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等线" w:hAnsi="Times New Roman"/>
                <w:b/>
                <w:bCs/>
                <w:kern w:val="0"/>
                <w:sz w:val="24"/>
                <w:szCs w:val="24"/>
              </w:rPr>
            </w:pPr>
            <w:proofErr w:type="gramStart"/>
            <w:r>
              <w:rPr>
                <w:rFonts w:ascii="Times New Roman" w:eastAsia="方正仿宋_GBK" w:hAnsi="Times New Roman"/>
                <w:b/>
                <w:bCs/>
                <w:kern w:val="0"/>
                <w:sz w:val="24"/>
                <w:szCs w:val="24"/>
              </w:rPr>
              <w:t>总</w:t>
            </w:r>
            <w:r>
              <w:rPr>
                <w:rFonts w:ascii="Times New Roman" w:eastAsia="等线" w:hAnsi="Times New Roman"/>
                <w:b/>
                <w:bCs/>
                <w:kern w:val="0"/>
                <w:sz w:val="24"/>
                <w:szCs w:val="24"/>
              </w:rPr>
              <w:t xml:space="preserve">  </w:t>
            </w:r>
            <w:r>
              <w:rPr>
                <w:rFonts w:ascii="Times New Roman" w:eastAsia="方正仿宋_GBK" w:hAnsi="Times New Roman"/>
                <w:b/>
                <w:bCs/>
                <w:kern w:val="0"/>
                <w:sz w:val="24"/>
                <w:szCs w:val="24"/>
              </w:rPr>
              <w:t>计</w:t>
            </w:r>
            <w:proofErr w:type="gramEnd"/>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854,731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1,683,786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1,729,731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102.7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179.6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hAnsi="Times New Roman"/>
                <w:b/>
                <w:bCs/>
                <w:kern w:val="0"/>
                <w:sz w:val="24"/>
                <w:szCs w:val="24"/>
              </w:rPr>
            </w:pPr>
            <w:proofErr w:type="gramStart"/>
            <w:r>
              <w:rPr>
                <w:rFonts w:ascii="Times New Roman" w:hAnsi="Times New Roman"/>
                <w:b/>
                <w:bCs/>
                <w:kern w:val="0"/>
                <w:sz w:val="24"/>
                <w:szCs w:val="24"/>
              </w:rPr>
              <w:t>总</w:t>
            </w:r>
            <w:r>
              <w:rPr>
                <w:rFonts w:ascii="Times New Roman" w:hAnsi="Times New Roman"/>
                <w:b/>
                <w:bCs/>
                <w:kern w:val="0"/>
                <w:sz w:val="24"/>
                <w:szCs w:val="24"/>
              </w:rPr>
              <w:t xml:space="preserve">  </w:t>
            </w:r>
            <w:r>
              <w:rPr>
                <w:rFonts w:ascii="Times New Roman" w:hAnsi="Times New Roman"/>
                <w:b/>
                <w:bCs/>
                <w:kern w:val="0"/>
                <w:sz w:val="24"/>
                <w:szCs w:val="24"/>
              </w:rPr>
              <w:t>计</w:t>
            </w:r>
            <w:proofErr w:type="gramEnd"/>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854,731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1,683,786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1,729,731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102.7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179.6 </w:t>
            </w:r>
          </w:p>
        </w:tc>
      </w:tr>
      <w:tr w:rsidR="00BF0D98">
        <w:trPr>
          <w:trHeight w:val="465"/>
        </w:trPr>
        <w:tc>
          <w:tcPr>
            <w:tcW w:w="2977"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本级收入合计</w:t>
            </w:r>
          </w:p>
        </w:tc>
        <w:tc>
          <w:tcPr>
            <w:tcW w:w="105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341,870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319,500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321,905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100.8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100.8 </w:t>
            </w:r>
          </w:p>
        </w:tc>
        <w:tc>
          <w:tcPr>
            <w:tcW w:w="1947" w:type="dxa"/>
            <w:tcBorders>
              <w:top w:val="nil"/>
              <w:left w:val="nil"/>
              <w:bottom w:val="single" w:sz="4" w:space="0" w:color="auto"/>
              <w:right w:val="single" w:sz="4" w:space="0" w:color="auto"/>
            </w:tcBorders>
            <w:shd w:val="clear" w:color="000000" w:fill="FFFFFF"/>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本级支出合计</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840,331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1,462,516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1,365,850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93.4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166.4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一、税收收入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279,500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269,000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279,369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103.9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107.0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一、一般公共服务支出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134,895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89,037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70,670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79.4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92.0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增值税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41,300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49,000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46,403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94.7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105.7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二、外交支出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企业所得税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25,000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28,000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26,905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96.1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116.5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三、国防支出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194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145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74.9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371.8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个人所得税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8,000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7,185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8,512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118.5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108.9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四、公共安全支出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44,104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53,451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46,784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87.5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109.6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资源税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58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116.0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98.3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五、教育支出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140,981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165,673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161,176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97.3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110.6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城市维护建设税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7,600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7,070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8,002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113.2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96.7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六、科学技术支出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193,645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230,248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235,768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102.4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119.9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lastRenderedPageBreak/>
              <w:t xml:space="preserve">    </w:t>
            </w:r>
            <w:r>
              <w:rPr>
                <w:rFonts w:ascii="Times New Roman" w:hAnsi="Times New Roman"/>
                <w:color w:val="000000"/>
                <w:kern w:val="0"/>
                <w:sz w:val="24"/>
                <w:szCs w:val="24"/>
              </w:rPr>
              <w:t>房产税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20,000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16,000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17,351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108.4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86.9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七、文化旅游体育与传媒支出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2,096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2,818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2,375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84.3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76.5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印花税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12,000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14,500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15,207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104.9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149.2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八、社会保障和就业支出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52,544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63,194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57,943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91.7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103.7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城镇土地使用税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44,000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35,100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36,162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103.0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86.6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九、卫生健康支出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28,583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29,952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30,346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101.3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78.6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土地增值税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60,790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50,000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55,960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111.9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108.2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十、节能环保支出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8,175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11,774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9,925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84.3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100.9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耕地占用税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3,000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4,400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4,530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103.0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55.6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十一、城乡社区支出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127,069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77,334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69,725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90.2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47.0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契税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57,600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57,600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60,159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104.4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130.6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十二、农林水支出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13,272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16,614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10,429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62.8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133.4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环境保护税</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160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95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120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126.3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71.4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十三、交通运输支出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4,131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5,370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3,240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60.3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37.9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其他税收收入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十四、资源勘探信息等支出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11,895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559,851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531,317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94.9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2882.3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二、非税收入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62,370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50,500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42,536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84.2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73.0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十五、商业服务业等支出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10,316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10,967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10,949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99.8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162.7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专项收入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12,000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14,000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13,114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93.7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119.6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十六、金融支出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lastRenderedPageBreak/>
              <w:t xml:space="preserve">    </w:t>
            </w:r>
            <w:r>
              <w:rPr>
                <w:rFonts w:ascii="Times New Roman" w:hAnsi="Times New Roman"/>
                <w:color w:val="000000"/>
                <w:kern w:val="0"/>
                <w:sz w:val="24"/>
                <w:szCs w:val="24"/>
              </w:rPr>
              <w:t>行政事业性收费收入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2,350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3,500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3,905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111.6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270.1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十七、援助其他地区支出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罚没收入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11,500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7,800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10,862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139.3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128.1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十八、自然资源海洋气象等支出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5,777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24,303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15,542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64.0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194.8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国有资源</w:t>
            </w:r>
            <w:proofErr w:type="gramStart"/>
            <w:r>
              <w:rPr>
                <w:rFonts w:ascii="Times New Roman" w:hAnsi="Times New Roman"/>
                <w:color w:val="000000"/>
                <w:kern w:val="0"/>
                <w:sz w:val="24"/>
                <w:szCs w:val="24"/>
              </w:rPr>
              <w:t>(</w:t>
            </w:r>
            <w:r>
              <w:rPr>
                <w:rFonts w:ascii="Times New Roman" w:hAnsi="Times New Roman"/>
                <w:color w:val="000000"/>
                <w:kern w:val="0"/>
                <w:sz w:val="24"/>
                <w:szCs w:val="24"/>
              </w:rPr>
              <w:t>资产</w:t>
            </w:r>
            <w:r>
              <w:rPr>
                <w:rFonts w:ascii="Times New Roman" w:hAnsi="Times New Roman"/>
                <w:color w:val="000000"/>
                <w:kern w:val="0"/>
                <w:sz w:val="24"/>
                <w:szCs w:val="24"/>
              </w:rPr>
              <w:t>)</w:t>
            </w:r>
            <w:proofErr w:type="gramEnd"/>
            <w:r>
              <w:rPr>
                <w:rFonts w:ascii="Times New Roman" w:hAnsi="Times New Roman"/>
                <w:color w:val="000000"/>
                <w:kern w:val="0"/>
                <w:sz w:val="24"/>
                <w:szCs w:val="24"/>
              </w:rPr>
              <w:t>有偿使用收入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36,520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24,200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13,656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56.4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38.1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十九、住房保障支出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28,339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48,968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43,013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87.8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135.7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捐赠收入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800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BF0D98">
            <w:pPr>
              <w:widowControl/>
              <w:adjustRightInd w:val="0"/>
              <w:snapToGrid w:val="0"/>
              <w:jc w:val="center"/>
              <w:rPr>
                <w:rFonts w:ascii="Times New Roman" w:eastAsia="等线" w:hAnsi="Times New Roman"/>
                <w:color w:val="000000"/>
                <w:kern w:val="0"/>
                <w:sz w:val="24"/>
                <w:szCs w:val="24"/>
              </w:rPr>
            </w:pP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二十、粮油物资储备支出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1,076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1,041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217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20.9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74.3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其他收入</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199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99.5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12.7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二十一、灾害防治及应急管理支出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3,393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5,758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3,812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66.2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160.3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二十二、预备费</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10,000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10,000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二十三、债务付息支出</w:t>
            </w:r>
          </w:p>
        </w:tc>
        <w:tc>
          <w:tcPr>
            <w:tcW w:w="99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20,000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55,970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55,660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99.4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300.3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105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二十四、债务发行费用支出</w:t>
            </w:r>
          </w:p>
        </w:tc>
        <w:tc>
          <w:tcPr>
            <w:tcW w:w="99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14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700.0 </w:t>
            </w:r>
          </w:p>
        </w:tc>
      </w:tr>
      <w:tr w:rsidR="00BF0D98">
        <w:trPr>
          <w:trHeight w:val="465"/>
        </w:trPr>
        <w:tc>
          <w:tcPr>
            <w:tcW w:w="2977"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105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845"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　</w:t>
            </w:r>
          </w:p>
        </w:tc>
        <w:tc>
          <w:tcPr>
            <w:tcW w:w="1947"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二十五、其他支出</w:t>
            </w:r>
          </w:p>
        </w:tc>
        <w:tc>
          <w:tcPr>
            <w:tcW w:w="99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7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6,800 </w:t>
            </w:r>
          </w:p>
        </w:tc>
        <w:tc>
          <w:tcPr>
            <w:tcW w:w="1046"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r>
      <w:tr w:rsidR="00BF0D98">
        <w:trPr>
          <w:trHeight w:val="465"/>
        </w:trPr>
        <w:tc>
          <w:tcPr>
            <w:tcW w:w="2977"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kern w:val="0"/>
                <w:sz w:val="24"/>
                <w:szCs w:val="24"/>
              </w:rPr>
              <w:t>转移性收入合计</w:t>
            </w:r>
          </w:p>
        </w:tc>
        <w:tc>
          <w:tcPr>
            <w:tcW w:w="105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512,861 </w:t>
            </w:r>
          </w:p>
        </w:tc>
        <w:tc>
          <w:tcPr>
            <w:tcW w:w="117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1,364,286 </w:t>
            </w:r>
          </w:p>
        </w:tc>
        <w:tc>
          <w:tcPr>
            <w:tcW w:w="117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1,407,826 </w:t>
            </w:r>
          </w:p>
        </w:tc>
        <w:tc>
          <w:tcPr>
            <w:tcW w:w="845"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103.2 </w:t>
            </w:r>
          </w:p>
        </w:tc>
        <w:tc>
          <w:tcPr>
            <w:tcW w:w="1030"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218.6 </w:t>
            </w:r>
          </w:p>
        </w:tc>
        <w:tc>
          <w:tcPr>
            <w:tcW w:w="1947"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转移性支出合计</w:t>
            </w:r>
          </w:p>
        </w:tc>
        <w:tc>
          <w:tcPr>
            <w:tcW w:w="996"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14,400 </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221,270 </w:t>
            </w:r>
          </w:p>
        </w:tc>
        <w:tc>
          <w:tcPr>
            <w:tcW w:w="1176"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363,881 </w:t>
            </w:r>
          </w:p>
        </w:tc>
        <w:tc>
          <w:tcPr>
            <w:tcW w:w="1046"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164.5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b/>
                <w:bCs/>
                <w:color w:val="000000"/>
                <w:kern w:val="0"/>
                <w:sz w:val="24"/>
                <w:szCs w:val="24"/>
              </w:rPr>
            </w:pPr>
            <w:r>
              <w:rPr>
                <w:rFonts w:ascii="Times New Roman" w:eastAsia="等线" w:hAnsi="Times New Roman"/>
                <w:b/>
                <w:bCs/>
                <w:color w:val="000000"/>
                <w:kern w:val="0"/>
                <w:sz w:val="24"/>
                <w:szCs w:val="24"/>
              </w:rPr>
              <w:t xml:space="preserve">255.5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lastRenderedPageBreak/>
              <w:t>一、上级补助收入</w:t>
            </w:r>
          </w:p>
        </w:tc>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111,403 </w:t>
            </w:r>
          </w:p>
        </w:tc>
        <w:tc>
          <w:tcPr>
            <w:tcW w:w="117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622,510 </w:t>
            </w:r>
          </w:p>
        </w:tc>
        <w:tc>
          <w:tcPr>
            <w:tcW w:w="1176"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649,909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104.3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251.4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一、上解上级支出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3,000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4,800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6,412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133.6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54.9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二、动用预算稳定调节基金</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hAnsi="Times New Roman"/>
                <w:color w:val="0D0D0D"/>
                <w:kern w:val="0"/>
                <w:sz w:val="24"/>
                <w:szCs w:val="24"/>
              </w:rPr>
            </w:pPr>
            <w:r>
              <w:rPr>
                <w:rFonts w:ascii="Times New Roman" w:hAnsi="Times New Roman"/>
                <w:color w:val="0D0D0D"/>
                <w:kern w:val="0"/>
                <w:sz w:val="24"/>
                <w:szCs w:val="24"/>
              </w:rPr>
              <w:t xml:space="preserve">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40,377 </w:t>
            </w:r>
          </w:p>
        </w:tc>
        <w:tc>
          <w:tcPr>
            <w:tcW w:w="1176"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40,377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二、债务还本支出</w:t>
            </w:r>
          </w:p>
        </w:tc>
        <w:tc>
          <w:tcPr>
            <w:tcW w:w="99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11,400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216,470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233,100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三、调入资金</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331,103 </w:t>
            </w:r>
          </w:p>
        </w:tc>
        <w:tc>
          <w:tcPr>
            <w:tcW w:w="117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409,474 </w:t>
            </w:r>
          </w:p>
        </w:tc>
        <w:tc>
          <w:tcPr>
            <w:tcW w:w="1176"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410,915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100.4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169.3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三、安排预算稳定调节基金</w:t>
            </w:r>
          </w:p>
        </w:tc>
        <w:tc>
          <w:tcPr>
            <w:tcW w:w="99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25,771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63.8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四、债务转贷收入</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hAnsi="Times New Roman"/>
                <w:color w:val="0D0D0D"/>
                <w:kern w:val="0"/>
                <w:sz w:val="24"/>
                <w:szCs w:val="24"/>
              </w:rPr>
            </w:pPr>
            <w:r>
              <w:rPr>
                <w:rFonts w:ascii="Times New Roman" w:hAnsi="Times New Roman"/>
                <w:color w:val="0D0D0D"/>
                <w:kern w:val="0"/>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221,570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236,270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106.6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458.8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四、结转下年</w:t>
            </w:r>
          </w:p>
        </w:tc>
        <w:tc>
          <w:tcPr>
            <w:tcW w:w="99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98,598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140.1 </w:t>
            </w:r>
          </w:p>
        </w:tc>
      </w:tr>
      <w:tr w:rsidR="00BF0D98">
        <w:trPr>
          <w:trHeight w:val="465"/>
        </w:trPr>
        <w:tc>
          <w:tcPr>
            <w:tcW w:w="2977"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五、上年结转</w:t>
            </w:r>
          </w:p>
        </w:tc>
        <w:tc>
          <w:tcPr>
            <w:tcW w:w="1056" w:type="dxa"/>
            <w:tcBorders>
              <w:top w:val="nil"/>
              <w:left w:val="single" w:sz="4" w:space="0" w:color="auto"/>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hAnsi="Times New Roman"/>
                <w:color w:val="0D0D0D"/>
                <w:kern w:val="0"/>
                <w:sz w:val="24"/>
                <w:szCs w:val="24"/>
              </w:rPr>
            </w:pPr>
            <w:r>
              <w:rPr>
                <w:rFonts w:ascii="Times New Roman" w:hAnsi="Times New Roman"/>
                <w:color w:val="0D0D0D"/>
                <w:kern w:val="0"/>
                <w:sz w:val="24"/>
                <w:szCs w:val="24"/>
              </w:rPr>
              <w:t xml:space="preserve">70,355 </w:t>
            </w:r>
          </w:p>
        </w:tc>
        <w:tc>
          <w:tcPr>
            <w:tcW w:w="1176"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70,355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70,355 </w:t>
            </w:r>
          </w:p>
        </w:tc>
        <w:tc>
          <w:tcPr>
            <w:tcW w:w="845"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100.0 </w:t>
            </w:r>
          </w:p>
        </w:tc>
        <w:tc>
          <w:tcPr>
            <w:tcW w:w="1030"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178.1 </w:t>
            </w:r>
          </w:p>
        </w:tc>
        <w:tc>
          <w:tcPr>
            <w:tcW w:w="1947"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7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046"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lef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r>
    </w:tbl>
    <w:p w:rsidR="00BF0D98" w:rsidRDefault="00000000">
      <w:pPr>
        <w:widowControl/>
        <w:ind w:right="640"/>
        <w:jc w:val="left"/>
        <w:rPr>
          <w:rFonts w:ascii="Times New Roman" w:eastAsia="方正楷体_GBK" w:hAnsi="Times New Roman"/>
          <w:sz w:val="32"/>
        </w:rPr>
        <w:sectPr w:rsidR="00BF0D98">
          <w:pgSz w:w="16838" w:h="11906" w:orient="landscape"/>
          <w:pgMar w:top="1531" w:right="2098" w:bottom="1531" w:left="1985" w:header="851" w:footer="1417" w:gutter="0"/>
          <w:cols w:space="425"/>
          <w:docGrid w:type="lines" w:linePitch="435"/>
        </w:sectPr>
      </w:pPr>
      <w:r>
        <w:rPr>
          <w:rFonts w:ascii="Times New Roman" w:eastAsia="方正楷体_GBK" w:hAnsi="Times New Roman"/>
          <w:sz w:val="32"/>
        </w:rPr>
        <w:br w:type="page"/>
      </w:r>
    </w:p>
    <w:p w:rsidR="00BF0D98" w:rsidRDefault="00000000">
      <w:pPr>
        <w:spacing w:line="600"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lastRenderedPageBreak/>
        <w:t>关于</w:t>
      </w:r>
      <w:r>
        <w:rPr>
          <w:rFonts w:ascii="Times New Roman" w:eastAsia="方正小标宋_GBK" w:hAnsi="Times New Roman" w:hint="eastAsia"/>
          <w:sz w:val="36"/>
          <w:szCs w:val="36"/>
        </w:rPr>
        <w:t>2024</w:t>
      </w:r>
      <w:r>
        <w:rPr>
          <w:rFonts w:ascii="Times New Roman" w:eastAsia="方正小标宋_GBK" w:hAnsi="Times New Roman" w:hint="eastAsia"/>
          <w:sz w:val="36"/>
          <w:szCs w:val="36"/>
        </w:rPr>
        <w:t>年一般公共预算收支决算的说明</w:t>
      </w:r>
    </w:p>
    <w:p w:rsidR="00BF0D98" w:rsidRDefault="00BF0D98">
      <w:pPr>
        <w:spacing w:line="600" w:lineRule="exact"/>
        <w:ind w:firstLineChars="200" w:firstLine="640"/>
        <w:rPr>
          <w:rFonts w:ascii="Times New Roman" w:eastAsia="方正仿宋_GBK" w:hAnsi="Times New Roman"/>
          <w:sz w:val="32"/>
        </w:rPr>
      </w:pP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一般公共预算是对以税收为主体的财政收入，安排用于保障和改善民生、推动经济社会发展、维护国家安全、维持国家机构正常运转等方面的收支预算。</w:t>
      </w:r>
    </w:p>
    <w:p w:rsidR="00BF0D98" w:rsidRDefault="00000000">
      <w:pPr>
        <w:spacing w:line="600" w:lineRule="exact"/>
        <w:ind w:firstLineChars="200" w:firstLine="640"/>
        <w:rPr>
          <w:rFonts w:ascii="方正黑体_GBK" w:eastAsia="方正黑体_GBK" w:hAnsi="Times New Roman"/>
          <w:sz w:val="32"/>
        </w:rPr>
      </w:pPr>
      <w:r>
        <w:rPr>
          <w:rFonts w:ascii="方正黑体_GBK" w:eastAsia="方正黑体_GBK" w:hAnsi="Times New Roman" w:hint="eastAsia"/>
          <w:sz w:val="32"/>
        </w:rPr>
        <w:t>一、一般公共预算收入</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年一般公共预算收入年初预算数为</w:t>
      </w:r>
      <w:r>
        <w:rPr>
          <w:rFonts w:ascii="Times New Roman" w:eastAsia="方正仿宋_GBK" w:hAnsi="Times New Roman" w:hint="eastAsia"/>
          <w:sz w:val="32"/>
        </w:rPr>
        <w:t>341,870</w:t>
      </w:r>
      <w:r>
        <w:rPr>
          <w:rFonts w:ascii="Times New Roman" w:eastAsia="方正仿宋_GBK" w:hAnsi="Times New Roman" w:hint="eastAsia"/>
          <w:sz w:val="32"/>
        </w:rPr>
        <w:t>万元，调整预算数为</w:t>
      </w:r>
      <w:r>
        <w:rPr>
          <w:rFonts w:ascii="Times New Roman" w:eastAsia="方正仿宋_GBK" w:hAnsi="Times New Roman" w:hint="eastAsia"/>
          <w:sz w:val="32"/>
        </w:rPr>
        <w:t>319,500</w:t>
      </w:r>
      <w:r>
        <w:rPr>
          <w:rFonts w:ascii="Times New Roman" w:eastAsia="方正仿宋_GBK" w:hAnsi="Times New Roman" w:hint="eastAsia"/>
          <w:sz w:val="32"/>
        </w:rPr>
        <w:t>万元，执行数为</w:t>
      </w:r>
      <w:r>
        <w:rPr>
          <w:rFonts w:ascii="Times New Roman" w:eastAsia="方正仿宋_GBK" w:hAnsi="Times New Roman"/>
          <w:sz w:val="32"/>
        </w:rPr>
        <w:t>321,905</w:t>
      </w:r>
      <w:r>
        <w:rPr>
          <w:rFonts w:ascii="Times New Roman" w:eastAsia="方正仿宋_GBK" w:hAnsi="Times New Roman" w:hint="eastAsia"/>
          <w:sz w:val="32"/>
        </w:rPr>
        <w:t>万元，决算数为</w:t>
      </w:r>
      <w:r>
        <w:rPr>
          <w:rFonts w:ascii="Times New Roman" w:eastAsia="方正仿宋_GBK" w:hAnsi="Times New Roman"/>
          <w:sz w:val="32"/>
        </w:rPr>
        <w:t>321,905</w:t>
      </w:r>
      <w:r>
        <w:rPr>
          <w:rFonts w:ascii="Times New Roman" w:eastAsia="方正仿宋_GBK" w:hAnsi="Times New Roman" w:hint="eastAsia"/>
          <w:sz w:val="32"/>
        </w:rPr>
        <w:t>万元，决算数为上年决算数的</w:t>
      </w:r>
      <w:r>
        <w:rPr>
          <w:rFonts w:ascii="Times New Roman" w:eastAsia="方正仿宋_GBK" w:hAnsi="Times New Roman" w:hint="eastAsia"/>
          <w:sz w:val="32"/>
        </w:rPr>
        <w:t>100.8%</w:t>
      </w:r>
      <w:r>
        <w:rPr>
          <w:rFonts w:ascii="Times New Roman" w:eastAsia="方正仿宋_GBK" w:hAnsi="Times New Roman" w:hint="eastAsia"/>
          <w:sz w:val="32"/>
        </w:rPr>
        <w:t>，其中，税收收入为</w:t>
      </w:r>
      <w:r>
        <w:rPr>
          <w:rFonts w:ascii="Times New Roman" w:eastAsia="方正仿宋_GBK" w:hAnsi="Times New Roman"/>
          <w:sz w:val="32"/>
        </w:rPr>
        <w:t>279,369</w:t>
      </w:r>
      <w:r>
        <w:rPr>
          <w:rFonts w:ascii="Times New Roman" w:eastAsia="方正仿宋_GBK" w:hAnsi="Times New Roman" w:hint="eastAsia"/>
          <w:sz w:val="32"/>
        </w:rPr>
        <w:t>万元，为上年决算数的</w:t>
      </w:r>
      <w:r>
        <w:rPr>
          <w:rFonts w:ascii="Times New Roman" w:eastAsia="方正仿宋_GBK" w:hAnsi="Times New Roman"/>
          <w:sz w:val="32"/>
        </w:rPr>
        <w:t>107.0</w:t>
      </w:r>
      <w:r>
        <w:rPr>
          <w:rFonts w:ascii="Times New Roman" w:eastAsia="方正仿宋_GBK" w:hAnsi="Times New Roman" w:hint="eastAsia"/>
          <w:sz w:val="32"/>
        </w:rPr>
        <w:t>%</w:t>
      </w:r>
      <w:r>
        <w:rPr>
          <w:rFonts w:ascii="Times New Roman" w:eastAsia="方正仿宋_GBK" w:hAnsi="Times New Roman" w:hint="eastAsia"/>
          <w:sz w:val="32"/>
        </w:rPr>
        <w:t>；非税收入为</w:t>
      </w:r>
      <w:r>
        <w:rPr>
          <w:rFonts w:ascii="Times New Roman" w:eastAsia="方正仿宋_GBK" w:hAnsi="Times New Roman"/>
          <w:sz w:val="32"/>
        </w:rPr>
        <w:t>42,536</w:t>
      </w:r>
      <w:r>
        <w:rPr>
          <w:rFonts w:ascii="Times New Roman" w:eastAsia="方正仿宋_GBK" w:hAnsi="Times New Roman" w:hint="eastAsia"/>
          <w:sz w:val="32"/>
        </w:rPr>
        <w:t>万元，为上年决算数的</w:t>
      </w:r>
      <w:r>
        <w:rPr>
          <w:rFonts w:ascii="Times New Roman" w:eastAsia="方正仿宋_GBK" w:hAnsi="Times New Roman"/>
          <w:sz w:val="32"/>
        </w:rPr>
        <w:t>73.0</w:t>
      </w:r>
      <w:r>
        <w:rPr>
          <w:rFonts w:ascii="Times New Roman" w:eastAsia="方正仿宋_GBK" w:hAnsi="Times New Roman" w:hint="eastAsia"/>
          <w:sz w:val="32"/>
        </w:rPr>
        <w:t>%</w:t>
      </w:r>
      <w:r>
        <w:rPr>
          <w:rFonts w:ascii="Times New Roman" w:eastAsia="方正仿宋_GBK" w:hAnsi="Times New Roman" w:hint="eastAsia"/>
          <w:sz w:val="32"/>
        </w:rPr>
        <w:t>。</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一般公共预算本级收入加上上级补助、动用预算稳定调节基金、调入资金、债务转贷收入和上年结转，收入总计</w:t>
      </w:r>
      <w:r>
        <w:rPr>
          <w:rFonts w:ascii="Times New Roman" w:eastAsia="方正仿宋_GBK" w:hAnsi="Times New Roman"/>
          <w:sz w:val="32"/>
        </w:rPr>
        <w:t>1,729,731</w:t>
      </w:r>
      <w:r>
        <w:rPr>
          <w:rFonts w:ascii="Times New Roman" w:eastAsia="方正仿宋_GBK" w:hAnsi="Times New Roman" w:hint="eastAsia"/>
          <w:sz w:val="32"/>
        </w:rPr>
        <w:t>万元。</w:t>
      </w:r>
    </w:p>
    <w:p w:rsidR="00BF0D98" w:rsidRDefault="00000000">
      <w:pPr>
        <w:spacing w:line="600" w:lineRule="exact"/>
        <w:ind w:firstLineChars="200" w:firstLine="640"/>
        <w:rPr>
          <w:rFonts w:ascii="方正黑体_GBK" w:eastAsia="方正黑体_GBK" w:hAnsi="Times New Roman"/>
          <w:sz w:val="32"/>
        </w:rPr>
      </w:pPr>
      <w:r>
        <w:rPr>
          <w:rFonts w:ascii="方正黑体_GBK" w:eastAsia="方正黑体_GBK" w:hAnsi="Times New Roman" w:hint="eastAsia"/>
          <w:sz w:val="32"/>
        </w:rPr>
        <w:t>二、一般公共预算支出</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年一般公共预算本级支出年初预算数为</w:t>
      </w:r>
      <w:r>
        <w:rPr>
          <w:rFonts w:ascii="Times New Roman" w:eastAsia="方正仿宋_GBK" w:hAnsi="Times New Roman"/>
          <w:sz w:val="32"/>
        </w:rPr>
        <w:t>840,331</w:t>
      </w:r>
      <w:r>
        <w:rPr>
          <w:rFonts w:ascii="Times New Roman" w:eastAsia="方正仿宋_GBK" w:hAnsi="Times New Roman" w:hint="eastAsia"/>
          <w:sz w:val="32"/>
        </w:rPr>
        <w:t>万元，调整预算数为</w:t>
      </w:r>
      <w:r>
        <w:rPr>
          <w:rFonts w:ascii="Times New Roman" w:eastAsia="方正仿宋_GBK" w:hAnsi="Times New Roman"/>
          <w:sz w:val="32"/>
        </w:rPr>
        <w:t>1,462,516</w:t>
      </w:r>
      <w:r>
        <w:rPr>
          <w:rFonts w:ascii="Times New Roman" w:eastAsia="方正仿宋_GBK" w:hAnsi="Times New Roman" w:hint="eastAsia"/>
          <w:sz w:val="32"/>
        </w:rPr>
        <w:t>万元，执行数为</w:t>
      </w:r>
      <w:r>
        <w:rPr>
          <w:rFonts w:ascii="Times New Roman" w:eastAsia="方正仿宋_GBK" w:hAnsi="Times New Roman"/>
          <w:sz w:val="32"/>
        </w:rPr>
        <w:t>1,365,850</w:t>
      </w:r>
      <w:r>
        <w:rPr>
          <w:rFonts w:ascii="Times New Roman" w:eastAsia="方正仿宋_GBK" w:hAnsi="Times New Roman" w:hint="eastAsia"/>
          <w:sz w:val="32"/>
        </w:rPr>
        <w:t>万元，决算数为</w:t>
      </w:r>
      <w:r>
        <w:rPr>
          <w:rFonts w:ascii="Times New Roman" w:eastAsia="方正仿宋_GBK" w:hAnsi="Times New Roman"/>
          <w:sz w:val="32"/>
        </w:rPr>
        <w:t>1,365,850</w:t>
      </w:r>
      <w:r>
        <w:rPr>
          <w:rFonts w:ascii="Times New Roman" w:eastAsia="方正仿宋_GBK" w:hAnsi="Times New Roman" w:hint="eastAsia"/>
          <w:sz w:val="32"/>
        </w:rPr>
        <w:t>万元，为上年决算数的</w:t>
      </w:r>
      <w:r>
        <w:rPr>
          <w:rFonts w:ascii="Times New Roman" w:eastAsia="方正仿宋_GBK" w:hAnsi="Times New Roman"/>
          <w:sz w:val="32"/>
        </w:rPr>
        <w:t>166.</w:t>
      </w:r>
      <w:r>
        <w:rPr>
          <w:rFonts w:ascii="Times New Roman" w:eastAsia="方正仿宋_GBK" w:hAnsi="Times New Roman" w:hint="eastAsia"/>
          <w:sz w:val="32"/>
        </w:rPr>
        <w:t>4%</w:t>
      </w:r>
      <w:r>
        <w:rPr>
          <w:rFonts w:ascii="Times New Roman" w:eastAsia="方正仿宋_GBK" w:hAnsi="Times New Roman" w:hint="eastAsia"/>
          <w:sz w:val="32"/>
        </w:rPr>
        <w:t>。</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一般公共预算本级支出加上解上级支出、债务还本、安排预算稳定调节基金和结转下年，支出总计</w:t>
      </w:r>
      <w:r>
        <w:rPr>
          <w:rFonts w:ascii="Times New Roman" w:eastAsia="方正仿宋_GBK" w:hAnsi="Times New Roman"/>
          <w:sz w:val="32"/>
        </w:rPr>
        <w:t>1,729,731</w:t>
      </w:r>
      <w:r>
        <w:rPr>
          <w:rFonts w:ascii="Times New Roman" w:eastAsia="方正仿宋_GBK" w:hAnsi="Times New Roman" w:hint="eastAsia"/>
          <w:sz w:val="32"/>
        </w:rPr>
        <w:t>万元。</w:t>
      </w:r>
    </w:p>
    <w:p w:rsidR="00BF0D98" w:rsidRDefault="00000000">
      <w:pPr>
        <w:widowControl/>
        <w:jc w:val="left"/>
        <w:rPr>
          <w:rFonts w:ascii="Times New Roman" w:eastAsia="方正黑体_GBK" w:hAnsi="Times New Roman"/>
          <w:sz w:val="32"/>
        </w:rPr>
      </w:pPr>
      <w:r>
        <w:rPr>
          <w:rFonts w:ascii="Times New Roman" w:eastAsia="方正黑体_GBK" w:hAnsi="Times New Roman"/>
          <w:sz w:val="32"/>
        </w:rPr>
        <w:br w:type="page"/>
      </w:r>
    </w:p>
    <w:p w:rsidR="00BF0D98" w:rsidRDefault="00000000">
      <w:pPr>
        <w:widowControl/>
        <w:ind w:right="640"/>
        <w:jc w:val="left"/>
        <w:rPr>
          <w:rFonts w:ascii="Times New Roman" w:eastAsia="方正黑体_GBK" w:hAnsi="Times New Roman"/>
          <w:sz w:val="32"/>
        </w:rPr>
      </w:pPr>
      <w:r>
        <w:rPr>
          <w:rFonts w:ascii="Times New Roman" w:eastAsia="方正黑体_GBK" w:hAnsi="Times New Roman"/>
          <w:sz w:val="32"/>
        </w:rPr>
        <w:lastRenderedPageBreak/>
        <w:t>表</w:t>
      </w:r>
      <w:r>
        <w:rPr>
          <w:rFonts w:ascii="Times New Roman" w:eastAsia="方正黑体_GBK" w:hAnsi="Times New Roman"/>
          <w:sz w:val="32"/>
        </w:rPr>
        <w:t>2</w:t>
      </w:r>
    </w:p>
    <w:p w:rsidR="00BF0D98" w:rsidRDefault="00000000">
      <w:pPr>
        <w:widowControl/>
        <w:adjustRightInd w:val="0"/>
        <w:snapToGrid w:val="0"/>
        <w:ind w:right="55"/>
        <w:jc w:val="center"/>
        <w:rPr>
          <w:rFonts w:ascii="Times New Roman" w:eastAsia="方正小标宋_GBK" w:hAnsi="Times New Roman"/>
          <w:sz w:val="36"/>
          <w:szCs w:val="36"/>
        </w:rPr>
      </w:pPr>
      <w:r>
        <w:rPr>
          <w:rFonts w:ascii="Times New Roman" w:eastAsia="方正小标宋_GBK" w:hAnsi="Times New Roman"/>
          <w:sz w:val="36"/>
          <w:szCs w:val="36"/>
        </w:rPr>
        <w:t>2024</w:t>
      </w:r>
      <w:r>
        <w:rPr>
          <w:rFonts w:ascii="Times New Roman" w:eastAsia="方正小标宋_GBK" w:hAnsi="Times New Roman"/>
          <w:sz w:val="36"/>
          <w:szCs w:val="36"/>
        </w:rPr>
        <w:t>年一般公共预算支出</w:t>
      </w:r>
      <w:r>
        <w:rPr>
          <w:rFonts w:ascii="Times New Roman" w:eastAsia="方正小标宋_GBK" w:hAnsi="Times New Roman" w:hint="eastAsia"/>
          <w:sz w:val="36"/>
          <w:szCs w:val="36"/>
        </w:rPr>
        <w:t>决算</w:t>
      </w:r>
      <w:r>
        <w:rPr>
          <w:rFonts w:ascii="Times New Roman" w:eastAsia="方正小标宋_GBK" w:hAnsi="Times New Roman"/>
          <w:sz w:val="36"/>
          <w:szCs w:val="36"/>
        </w:rPr>
        <w:t>表</w:t>
      </w:r>
    </w:p>
    <w:p w:rsidR="00BF0D98" w:rsidRDefault="00000000">
      <w:pPr>
        <w:adjustRightInd w:val="0"/>
        <w:snapToGrid w:val="0"/>
        <w:jc w:val="center"/>
        <w:rPr>
          <w:rFonts w:ascii="Times New Roman" w:eastAsia="方正楷体_GBK" w:hAnsi="Times New Roman"/>
          <w:sz w:val="32"/>
        </w:rPr>
      </w:pPr>
      <w:r>
        <w:rPr>
          <w:rFonts w:ascii="Times New Roman" w:eastAsia="方正楷体_GBK" w:hAnsi="Times New Roman"/>
          <w:sz w:val="28"/>
          <w:szCs w:val="21"/>
        </w:rPr>
        <w:t>（支出功能分类科目）</w:t>
      </w:r>
    </w:p>
    <w:p w:rsidR="00BF0D98" w:rsidRDefault="00000000">
      <w:pPr>
        <w:spacing w:line="600" w:lineRule="exact"/>
        <w:ind w:right="240" w:firstLineChars="200" w:firstLine="480"/>
        <w:jc w:val="right"/>
        <w:rPr>
          <w:rFonts w:ascii="Times New Roman" w:eastAsia="方正楷体_GBK" w:hAnsi="Times New Roman"/>
          <w:sz w:val="32"/>
        </w:rPr>
      </w:pPr>
      <w:r>
        <w:rPr>
          <w:rFonts w:ascii="Times New Roman" w:eastAsia="方正楷体_GBK" w:hAnsi="Times New Roman"/>
          <w:sz w:val="24"/>
          <w:szCs w:val="20"/>
        </w:rPr>
        <w:t>单位：万元</w:t>
      </w:r>
    </w:p>
    <w:tbl>
      <w:tblPr>
        <w:tblW w:w="8784" w:type="dxa"/>
        <w:tblInd w:w="113" w:type="dxa"/>
        <w:tblLook w:val="04A0" w:firstRow="1" w:lastRow="0" w:firstColumn="1" w:lastColumn="0" w:noHBand="0" w:noVBand="1"/>
      </w:tblPr>
      <w:tblGrid>
        <w:gridCol w:w="6799"/>
        <w:gridCol w:w="1985"/>
      </w:tblGrid>
      <w:tr w:rsidR="00BF0D98">
        <w:trPr>
          <w:trHeight w:val="276"/>
          <w:tblHeader/>
        </w:trPr>
        <w:tc>
          <w:tcPr>
            <w:tcW w:w="6799" w:type="dxa"/>
            <w:tcBorders>
              <w:top w:val="single" w:sz="4" w:space="0" w:color="000000"/>
              <w:left w:val="single" w:sz="4" w:space="0" w:color="000000"/>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科目名称</w:t>
            </w:r>
          </w:p>
        </w:tc>
        <w:tc>
          <w:tcPr>
            <w:tcW w:w="1985" w:type="dxa"/>
            <w:tcBorders>
              <w:top w:val="single" w:sz="4" w:space="0" w:color="000000"/>
              <w:left w:val="nil"/>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t>一般公共预算支出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1,365,850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一般公共服务支出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70,670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人大事务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268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人大代表履职能力提升</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其他人大事务支出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政协事务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其他政协事务支出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政府办公厅</w:t>
            </w:r>
            <w:proofErr w:type="gramStart"/>
            <w:r>
              <w:rPr>
                <w:rFonts w:ascii="宋体" w:hAnsi="宋体" w:cs="宋体" w:hint="eastAsia"/>
                <w:b/>
                <w:bCs/>
                <w:kern w:val="0"/>
                <w:sz w:val="24"/>
                <w:szCs w:val="24"/>
              </w:rPr>
              <w:t>(室)</w:t>
            </w:r>
            <w:proofErr w:type="gramEnd"/>
            <w:r>
              <w:rPr>
                <w:rFonts w:ascii="宋体" w:hAnsi="宋体" w:cs="宋体" w:hint="eastAsia"/>
                <w:b/>
                <w:bCs/>
                <w:kern w:val="0"/>
                <w:sz w:val="24"/>
                <w:szCs w:val="24"/>
              </w:rPr>
              <w:t>及相关机构事务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39,483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13,431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20,590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事业运行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2,586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其他政府办公厅</w:t>
            </w:r>
            <w:proofErr w:type="gramStart"/>
            <w:r>
              <w:rPr>
                <w:rFonts w:ascii="宋体" w:hAnsi="宋体" w:cs="宋体" w:hint="eastAsia"/>
                <w:kern w:val="0"/>
                <w:sz w:val="24"/>
                <w:szCs w:val="24"/>
              </w:rPr>
              <w:t>(室)</w:t>
            </w:r>
            <w:proofErr w:type="gramEnd"/>
            <w:r>
              <w:rPr>
                <w:rFonts w:ascii="宋体" w:hAnsi="宋体" w:cs="宋体" w:hint="eastAsia"/>
                <w:kern w:val="0"/>
                <w:sz w:val="24"/>
                <w:szCs w:val="24"/>
              </w:rPr>
              <w:t>及相关机构事务支出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2,876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发展与改革事务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4,510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1,040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2,940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战略规划与实施</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物价管理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其他发展与改革事务支出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统计信息事务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1,199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信息事务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统计管理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专项普查活动</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349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其他统计信息事务支出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财政事务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2,426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874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1,218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财政国库业务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其他财政事务支出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税收事务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5,380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税收业务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5,380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海关事务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纪检监察事务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1,225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大案要案查处</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巡视工作</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其他纪检监察事务支出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商贸事务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946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341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其他商贸事务支出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605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知识产权事务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知识产权战略和规划</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189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其他知识产权事务支出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362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群众团体事务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509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358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其他群众团体事务支出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组织事务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1,389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332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1,057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宣传事务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4,556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事业运行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其他宣传事务支出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4,037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统战事务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485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260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宗教事务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其他共产党事务支出</w:t>
            </w:r>
            <w:proofErr w:type="gramStart"/>
            <w:r>
              <w:rPr>
                <w:rFonts w:ascii="宋体" w:hAnsi="宋体" w:cs="宋体" w:hint="eastAsia"/>
                <w:b/>
                <w:bCs/>
                <w:kern w:val="0"/>
                <w:sz w:val="24"/>
                <w:szCs w:val="24"/>
              </w:rPr>
              <w:t>(款)</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707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其他共产党事务支出</w:t>
            </w:r>
            <w:proofErr w:type="gramStart"/>
            <w:r>
              <w:rPr>
                <w:rFonts w:ascii="宋体" w:hAnsi="宋体" w:cs="宋体" w:hint="eastAsia"/>
                <w:kern w:val="0"/>
                <w:sz w:val="24"/>
                <w:szCs w:val="24"/>
              </w:rPr>
              <w:t>(项)</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649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网信事务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市场监督管理事务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4,692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3,084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市场主体管理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市场秩序执法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信息化建设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质量基础</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药品事务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医疗器械事务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428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化妆品事务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质量安全监管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食品安全监管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297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其他市场监督管理事务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315</w:t>
            </w:r>
          </w:p>
        </w:tc>
      </w:tr>
      <w:tr w:rsidR="00BF0D98">
        <w:trPr>
          <w:trHeight w:val="276"/>
        </w:trPr>
        <w:tc>
          <w:tcPr>
            <w:tcW w:w="6799" w:type="dxa"/>
            <w:tcBorders>
              <w:top w:val="nil"/>
              <w:left w:val="single" w:sz="4" w:space="0" w:color="000000"/>
              <w:bottom w:val="single" w:sz="4" w:space="0" w:color="000000"/>
              <w:right w:val="nil"/>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信访事务</w:t>
            </w:r>
          </w:p>
        </w:tc>
        <w:tc>
          <w:tcPr>
            <w:tcW w:w="1985" w:type="dxa"/>
            <w:tcBorders>
              <w:top w:val="single" w:sz="4" w:space="0" w:color="000000"/>
              <w:left w:val="single" w:sz="4" w:space="0" w:color="000000"/>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信访业务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国防支出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国防动员</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兵役征集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民兵</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公共安全支出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46,784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公安</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45,424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35,433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6,842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信息化建设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1,002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执法办案</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2,069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特别业务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其他公安支出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司法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1,352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基层司法业务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494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普法宣传</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公共法律服务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国家统一法律职业资格考试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社区矫正</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其他司法支出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其他公共安全支出</w:t>
            </w:r>
            <w:proofErr w:type="gramStart"/>
            <w:r>
              <w:rPr>
                <w:rFonts w:ascii="宋体" w:hAnsi="宋体" w:cs="宋体" w:hint="eastAsia"/>
                <w:b/>
                <w:bCs/>
                <w:kern w:val="0"/>
                <w:sz w:val="24"/>
                <w:szCs w:val="24"/>
              </w:rPr>
              <w:t>(款)</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国家司法救助支出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其他公共安全支出</w:t>
            </w:r>
            <w:proofErr w:type="gramStart"/>
            <w:r>
              <w:rPr>
                <w:rFonts w:ascii="宋体" w:hAnsi="宋体" w:cs="宋体" w:hint="eastAsia"/>
                <w:kern w:val="0"/>
                <w:sz w:val="24"/>
                <w:szCs w:val="24"/>
              </w:rPr>
              <w:t>(项)</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lastRenderedPageBreak/>
              <w:t>教育支出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161,176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普通教育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156,890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学前教育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6,105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小学教育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61,857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初中教育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57,148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高中教育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11,570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其他普通教育支出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20,210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职业教育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4,241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中等职业教育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4,241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特殊教育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其他特殊教育支出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科学技术支出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235,768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科学技术管理事务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10,578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294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其他科学技术管理事务支出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10,273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基础研究</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7,971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其他基础研究支出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7,971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技术研究与开发</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217,204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科技成果转化与扩散</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其他技术研究与开发支出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217,143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科学技术普及</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科普活动</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文化旅游体育与传媒支出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2,375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文化和旅游</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2,113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图书馆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文化活动</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290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群众文化</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262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文化创作与保护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文化和旅游市场管理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其他文化和旅游支出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1,443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文物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文物保护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其他文物支出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体育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群众体育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广播电视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广播电视事务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社会保障和就业支出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57,943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人力资源和社会保障管理事务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7,960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社会保险经办机构</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481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劳动人事争议调解仲裁</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337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事业运行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3,272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其他人力资源和社会保障管理事务支出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3,870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民政管理事务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10,095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163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基层政权建设和社区治理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9,377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其他民政管理事务支出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行政事业单位养老支出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20,019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机关事业单位基本养老保险缴费支出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10,458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机关事业单位职业年金缴费支出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5,233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其他行政事业单位养老支出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4,328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就业补助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11,451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就业创业服务补贴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职业培训补贴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社会保险补贴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6,678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公益性岗位补贴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就业见习补贴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高技能人才培养补助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其他就业补助支出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2,862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抚恤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2,508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死亡抚恤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伤残抚恤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义务兵优待</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其他优抚支出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1,694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退役安置</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909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退役士兵安置</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662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军队移交政府的离退休人员安置</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退役士兵管理教育</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军队转业干部安置</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其他退役安置支出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社会福利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儿童福利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老年福利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254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养老服务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其他社会福利支出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残疾人事业</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897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残疾人生活和护理补贴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189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其他残疾人事业支出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最低生活保障</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城市最低生活保障金支出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特困人员救助供养</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城市特困人员救助供养支出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其他生活救助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其他城市生活救助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其他农村生活救助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退役军人管理事务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1,069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283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拥军优属</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事业运行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755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其他退役军人事务管理支出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财政代缴社会保险费支出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财政代缴其他社会保险费支出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其他社会保障和就业支出</w:t>
            </w:r>
            <w:proofErr w:type="gramStart"/>
            <w:r>
              <w:rPr>
                <w:rFonts w:ascii="宋体" w:hAnsi="宋体" w:cs="宋体" w:hint="eastAsia"/>
                <w:b/>
                <w:bCs/>
                <w:kern w:val="0"/>
                <w:sz w:val="24"/>
                <w:szCs w:val="24"/>
              </w:rPr>
              <w:t>(款)</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其他社会保障和就业支出</w:t>
            </w:r>
            <w:proofErr w:type="gramStart"/>
            <w:r>
              <w:rPr>
                <w:rFonts w:ascii="宋体" w:hAnsi="宋体" w:cs="宋体" w:hint="eastAsia"/>
                <w:kern w:val="0"/>
                <w:sz w:val="24"/>
                <w:szCs w:val="24"/>
              </w:rPr>
              <w:t>(项)</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卫生健康支出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30,346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卫生健康管理事务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984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984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基层医疗卫生机构</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8,594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城市社区卫生机构</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1,655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乡镇卫生院</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6,902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其他基层医疗卫生机构支出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公共卫生</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6,652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疾病预防控制机构</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妇幼保健机构</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精神卫生机构</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基本公共卫生服务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5,738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重大公共卫生服务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182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其他公共卫生支出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493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计划生育事务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2,614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计划生育服务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2,168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其他计划生育事务支出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446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行政事业单位医疗</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6,605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行政单位医疗</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1,551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事业单位医疗</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2,776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其他行政事业单位医疗支出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财政对基本医疗保险基金的补助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财政对城乡居民基本医疗保险基金的补助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医疗救助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1,089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城乡医疗救助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1,087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其他医疗救助支出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优抚对象医疗</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优抚对象医疗补助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医疗保障管理事务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3,330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医疗保障经办事务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其他医疗保障管理事务支出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3,319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中医药事务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中医</w:t>
            </w:r>
            <w:proofErr w:type="gramStart"/>
            <w:r>
              <w:rPr>
                <w:rFonts w:ascii="宋体" w:hAnsi="宋体" w:cs="宋体" w:hint="eastAsia"/>
                <w:kern w:val="0"/>
                <w:sz w:val="24"/>
                <w:szCs w:val="24"/>
              </w:rPr>
              <w:t>(民族医)</w:t>
            </w:r>
            <w:proofErr w:type="gramEnd"/>
            <w:r>
              <w:rPr>
                <w:rFonts w:ascii="宋体" w:hAnsi="宋体" w:cs="宋体" w:hint="eastAsia"/>
                <w:kern w:val="0"/>
                <w:sz w:val="24"/>
                <w:szCs w:val="24"/>
              </w:rPr>
              <w:t>药专项</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其他卫生健康支出</w:t>
            </w:r>
            <w:proofErr w:type="gramStart"/>
            <w:r>
              <w:rPr>
                <w:rFonts w:ascii="宋体" w:hAnsi="宋体" w:cs="宋体" w:hint="eastAsia"/>
                <w:b/>
                <w:bCs/>
                <w:kern w:val="0"/>
                <w:sz w:val="24"/>
                <w:szCs w:val="24"/>
              </w:rPr>
              <w:t>(款)</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其他卫生健康支出</w:t>
            </w:r>
            <w:proofErr w:type="gramStart"/>
            <w:r>
              <w:rPr>
                <w:rFonts w:ascii="宋体" w:hAnsi="宋体" w:cs="宋体" w:hint="eastAsia"/>
                <w:kern w:val="0"/>
                <w:sz w:val="24"/>
                <w:szCs w:val="24"/>
              </w:rPr>
              <w:t>(项)</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节能环保支出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9,925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环境保护管理事务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1,162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832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生态环境保护宣传</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生态环境保护行政许可</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其他环境保护管理事务支出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环境监测与监察</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其他环境监测与监察支出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污染防治</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8,025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大气</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1,233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水体</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2,990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固体废弃物与化学品</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3,568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土壤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其他污染防治支出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自然生态保护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生态保护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农村环境保护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森林保护修复</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森林管护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其他森林保护修复支出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污染减排</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生态环境执法监察</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能源管理事务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城乡社区支出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69,725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城乡社区管理事务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11,335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1,312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3,483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城管执法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住宅建设与房地产市场监管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其他城乡社区管理事务支出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6,276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城乡社区公共设施</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35,938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小城镇基础设施建设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34,818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其他城乡社区公共设施支出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城乡社区环境卫生</w:t>
            </w:r>
            <w:proofErr w:type="gramStart"/>
            <w:r>
              <w:rPr>
                <w:rFonts w:ascii="宋体" w:hAnsi="宋体" w:cs="宋体" w:hint="eastAsia"/>
                <w:b/>
                <w:bCs/>
                <w:kern w:val="0"/>
                <w:sz w:val="24"/>
                <w:szCs w:val="24"/>
              </w:rPr>
              <w:t>(款)</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22,452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城乡社区环境卫生</w:t>
            </w:r>
            <w:proofErr w:type="gramStart"/>
            <w:r>
              <w:rPr>
                <w:rFonts w:ascii="宋体" w:hAnsi="宋体" w:cs="宋体" w:hint="eastAsia"/>
                <w:kern w:val="0"/>
                <w:sz w:val="24"/>
                <w:szCs w:val="24"/>
              </w:rPr>
              <w:t>(项)</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22,452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农林水支出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10,429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农业农村</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4,556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事业运行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1,254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病虫害控制</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农产品质量安全</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稳定农民收入补贴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农业生产发展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298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农村合作经济</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农村社会事业</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1,298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农业生态资源保护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渔业发展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耕地建设与利用</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其他农业农村支出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1,016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林业和草原</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森林资源管理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森林生态效益补偿</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林业草原防灾减灾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472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其他林业和草原支出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193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水利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2,660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水利工程建设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1,560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水利工程运行与维护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361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水文测报</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防汛</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农村供水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其他水利支出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巩固脱贫攻坚成果衔接乡村振兴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865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农村基础设施建设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生产发展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798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其他巩固脱贫攻坚成果衔接乡村振兴支出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农村综合改革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1,219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对村级公益事业建设的补助</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1,182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其他农村综合改革支出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普惠金融发展支出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344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农业保险保费补贴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创业担保贷款贴息及奖补</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341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交通运输支出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3,240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公路水路运输</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3,230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公路建设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455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公路养护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公路和运输安全</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公路运输管理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2,312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其他公路水路运输支出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铁路运输</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铁路安全</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资源勘探工业信息等支出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531,317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制造业</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188,270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2,623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通信设备、计算机及其他电子设备制造业</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174,055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其他制造业支出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11,592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工业和信息产业监管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85,047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产业发展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85,047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国有资产监管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256,050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其他国有资产监管支出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256,050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支持中小企业发展和管理支出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1,950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中小企业发展专项</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1,950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商业服务业等支出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10,949</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商业流通事务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7,814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621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其他商业流通事务支出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7,193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涉外发展服务支出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3,135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其他涉外发展服务支出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3,135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自然资源海洋气象等支出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15,542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自然资源事务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15,542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3,968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自然资源规划及管理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自然资源利用与保护</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7,084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事业运行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1,701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其他自然资源事务支出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1,853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住房保障支出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43,013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保障性安居工程支出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35,197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廉租住房</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1,000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棚户区改造</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老旧小区改造</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住房租赁市场发展</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12,255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保障性租赁住房</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3,717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其他保障性安居工程支出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17,944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住房改革支出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7,816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住房公积金</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7,816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粮油物资储备支出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217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粮油物资事务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粮油储备</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储备粮油补贴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175</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灾害防治及应急管理支出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3,812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应急管理事务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2,384</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行政运行</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813</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一般行政管理事务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308</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安全监管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应急救援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620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应急管理</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其他应急管理支出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172</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消防救援事务</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471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消防应急救援</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471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自然灾害防治</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957</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地质灾害防治</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566</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森林草原防灾减灾</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391</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其他支出</w:t>
            </w:r>
            <w:proofErr w:type="gramStart"/>
            <w:r>
              <w:rPr>
                <w:rFonts w:ascii="宋体" w:hAnsi="宋体" w:cs="宋体" w:hint="eastAsia"/>
                <w:b/>
                <w:bCs/>
                <w:kern w:val="0"/>
                <w:sz w:val="24"/>
                <w:szCs w:val="24"/>
              </w:rPr>
              <w:t>(类)</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6,800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其他支出</w:t>
            </w:r>
            <w:proofErr w:type="gramStart"/>
            <w:r>
              <w:rPr>
                <w:rFonts w:ascii="宋体" w:hAnsi="宋体" w:cs="宋体" w:hint="eastAsia"/>
                <w:b/>
                <w:bCs/>
                <w:kern w:val="0"/>
                <w:sz w:val="24"/>
                <w:szCs w:val="24"/>
              </w:rPr>
              <w:t>(款)</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6,800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其他支出</w:t>
            </w:r>
            <w:proofErr w:type="gramStart"/>
            <w:r>
              <w:rPr>
                <w:rFonts w:ascii="宋体" w:hAnsi="宋体" w:cs="宋体" w:hint="eastAsia"/>
                <w:kern w:val="0"/>
                <w:sz w:val="24"/>
                <w:szCs w:val="24"/>
              </w:rPr>
              <w:t>(项)</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6,800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lastRenderedPageBreak/>
              <w:t>债务付息支出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55,660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地方政府一般债务付息支出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55,660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地方政府一般债券付息支出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55,660</w:t>
            </w:r>
          </w:p>
        </w:tc>
      </w:tr>
      <w:tr w:rsidR="00BF0D98">
        <w:trPr>
          <w:trHeight w:val="276"/>
        </w:trPr>
        <w:tc>
          <w:tcPr>
            <w:tcW w:w="6799"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债务发行费用支出</w:t>
            </w:r>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w:t>
            </w:r>
          </w:p>
        </w:tc>
      </w:tr>
      <w:tr w:rsidR="00BF0D98">
        <w:trPr>
          <w:trHeight w:val="276"/>
        </w:trPr>
        <w:tc>
          <w:tcPr>
            <w:tcW w:w="6799" w:type="dxa"/>
            <w:tcBorders>
              <w:top w:val="nil"/>
              <w:left w:val="single" w:sz="4" w:space="0" w:color="000000"/>
              <w:bottom w:val="nil"/>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地方政府一般债务发行费用支出</w:t>
            </w:r>
            <w:proofErr w:type="gramStart"/>
            <w:r>
              <w:rPr>
                <w:rFonts w:ascii="宋体" w:hAnsi="宋体" w:cs="宋体" w:hint="eastAsia"/>
                <w:b/>
                <w:bCs/>
                <w:kern w:val="0"/>
                <w:sz w:val="24"/>
                <w:szCs w:val="24"/>
              </w:rPr>
              <w:t>(款)</w:t>
            </w:r>
            <w:proofErr w:type="gramEnd"/>
          </w:p>
        </w:tc>
        <w:tc>
          <w:tcPr>
            <w:tcW w:w="198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w:t>
            </w:r>
          </w:p>
        </w:tc>
      </w:tr>
      <w:tr w:rsidR="00BF0D98">
        <w:trPr>
          <w:trHeight w:val="276"/>
        </w:trPr>
        <w:tc>
          <w:tcPr>
            <w:tcW w:w="6799" w:type="dxa"/>
            <w:tcBorders>
              <w:top w:val="single" w:sz="4" w:space="0" w:color="000000"/>
              <w:left w:val="single" w:sz="4" w:space="0" w:color="000000"/>
              <w:bottom w:val="single" w:sz="4" w:space="0" w:color="000000"/>
              <w:right w:val="nil"/>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地方政府一般债务发行费用支出</w:t>
            </w:r>
            <w:proofErr w:type="gramStart"/>
            <w:r>
              <w:rPr>
                <w:rFonts w:ascii="宋体" w:hAnsi="宋体" w:cs="宋体" w:hint="eastAsia"/>
                <w:kern w:val="0"/>
                <w:sz w:val="24"/>
                <w:szCs w:val="24"/>
              </w:rPr>
              <w:t>(项)</w:t>
            </w:r>
            <w:proofErr w:type="gramEnd"/>
          </w:p>
        </w:tc>
        <w:tc>
          <w:tcPr>
            <w:tcW w:w="1985" w:type="dxa"/>
            <w:tcBorders>
              <w:top w:val="nil"/>
              <w:left w:val="single" w:sz="4" w:space="0" w:color="000000"/>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14</w:t>
            </w:r>
          </w:p>
        </w:tc>
      </w:tr>
    </w:tbl>
    <w:p w:rsidR="00BF0D98" w:rsidRDefault="00BF0D98">
      <w:pPr>
        <w:spacing w:line="600" w:lineRule="exact"/>
        <w:ind w:firstLineChars="200" w:firstLine="640"/>
        <w:jc w:val="left"/>
        <w:rPr>
          <w:rFonts w:ascii="Times New Roman" w:eastAsia="方正仿宋_GBK" w:hAnsi="Times New Roman"/>
          <w:sz w:val="32"/>
        </w:rPr>
      </w:pPr>
    </w:p>
    <w:p w:rsidR="00BF0D98" w:rsidRDefault="00000000">
      <w:pPr>
        <w:widowControl/>
        <w:jc w:val="left"/>
        <w:rPr>
          <w:rFonts w:ascii="Times New Roman" w:eastAsia="方正仿宋_GBK" w:hAnsi="Times New Roman"/>
          <w:sz w:val="32"/>
        </w:rPr>
      </w:pPr>
      <w:r>
        <w:rPr>
          <w:rFonts w:ascii="Times New Roman" w:eastAsia="方正仿宋_GBK" w:hAnsi="Times New Roman"/>
          <w:sz w:val="32"/>
        </w:rPr>
        <w:br w:type="page"/>
      </w:r>
    </w:p>
    <w:p w:rsidR="00BF0D98" w:rsidRDefault="00000000">
      <w:pPr>
        <w:widowControl/>
        <w:jc w:val="left"/>
        <w:rPr>
          <w:rFonts w:ascii="Times New Roman" w:eastAsia="方正黑体_GBK" w:hAnsi="Times New Roman"/>
          <w:sz w:val="32"/>
        </w:rPr>
      </w:pPr>
      <w:r>
        <w:rPr>
          <w:rFonts w:ascii="Times New Roman" w:eastAsia="方正黑体_GBK" w:hAnsi="Times New Roman"/>
          <w:sz w:val="32"/>
        </w:rPr>
        <w:lastRenderedPageBreak/>
        <w:t>表</w:t>
      </w:r>
      <w:r>
        <w:rPr>
          <w:rFonts w:ascii="Times New Roman" w:eastAsia="方正黑体_GBK" w:hAnsi="Times New Roman"/>
          <w:sz w:val="32"/>
        </w:rPr>
        <w:t>3</w:t>
      </w:r>
    </w:p>
    <w:p w:rsidR="00BF0D98" w:rsidRDefault="00000000">
      <w:pPr>
        <w:widowControl/>
        <w:adjustRightInd w:val="0"/>
        <w:snapToGrid w:val="0"/>
        <w:jc w:val="center"/>
        <w:rPr>
          <w:rFonts w:ascii="方正小标宋_GBK" w:eastAsia="方正小标宋_GBK" w:hAnsi="Times New Roman" w:cs="宋体"/>
          <w:color w:val="0D0D0D"/>
          <w:kern w:val="0"/>
          <w:sz w:val="36"/>
          <w:szCs w:val="36"/>
        </w:rPr>
      </w:pPr>
      <w:r>
        <w:rPr>
          <w:rFonts w:ascii="方正小标宋_GBK" w:eastAsia="方正小标宋_GBK" w:hAnsi="Times New Roman" w:cs="宋体" w:hint="eastAsia"/>
          <w:color w:val="0D0D0D"/>
          <w:kern w:val="0"/>
          <w:sz w:val="36"/>
          <w:szCs w:val="36"/>
        </w:rPr>
        <w:t>一般公共预算支出决算表</w:t>
      </w:r>
    </w:p>
    <w:p w:rsidR="00BF0D98" w:rsidRDefault="00000000">
      <w:pPr>
        <w:widowControl/>
        <w:adjustRightInd w:val="0"/>
        <w:snapToGrid w:val="0"/>
        <w:jc w:val="center"/>
        <w:rPr>
          <w:rFonts w:ascii="方正楷体_GBK" w:eastAsia="方正楷体_GBK" w:hAnsi="Times New Roman" w:cs="宋体"/>
          <w:color w:val="0D0D0D"/>
          <w:kern w:val="0"/>
          <w:sz w:val="40"/>
          <w:szCs w:val="40"/>
        </w:rPr>
      </w:pPr>
      <w:r w:rsidRPr="009A3D02">
        <w:rPr>
          <w:rFonts w:ascii="方正楷体_GBK" w:eastAsia="方正楷体_GBK" w:hAnsi="Times New Roman" w:cs="宋体" w:hint="eastAsia"/>
          <w:color w:val="0D0D0D"/>
          <w:kern w:val="0"/>
          <w:sz w:val="28"/>
          <w:szCs w:val="28"/>
        </w:rPr>
        <w:t>（按经济分类科目）</w:t>
      </w:r>
    </w:p>
    <w:p w:rsidR="00BF0D98" w:rsidRDefault="00000000" w:rsidP="009A3D02">
      <w:pPr>
        <w:widowControl/>
        <w:adjustRightInd w:val="0"/>
        <w:snapToGrid w:val="0"/>
        <w:ind w:rightChars="-108" w:right="-227"/>
        <w:jc w:val="right"/>
        <w:rPr>
          <w:rFonts w:ascii="方正楷体_GBK" w:eastAsia="方正楷体_GBK" w:hAnsi="Times New Roman"/>
          <w:sz w:val="36"/>
          <w:szCs w:val="24"/>
        </w:rPr>
      </w:pPr>
      <w:r w:rsidRPr="009A3D02">
        <w:rPr>
          <w:rFonts w:ascii="方正楷体_GBK" w:eastAsia="方正楷体_GBK" w:hAnsi="Times New Roman" w:hint="eastAsia"/>
          <w:sz w:val="24"/>
          <w:szCs w:val="20"/>
        </w:rPr>
        <w:t>单位：万元</w:t>
      </w:r>
    </w:p>
    <w:tbl>
      <w:tblPr>
        <w:tblW w:w="9162" w:type="dxa"/>
        <w:tblInd w:w="113" w:type="dxa"/>
        <w:tblLook w:val="04A0" w:firstRow="1" w:lastRow="0" w:firstColumn="1" w:lastColumn="0" w:noHBand="0" w:noVBand="1"/>
      </w:tblPr>
      <w:tblGrid>
        <w:gridCol w:w="7083"/>
        <w:gridCol w:w="1843"/>
        <w:gridCol w:w="236"/>
      </w:tblGrid>
      <w:tr w:rsidR="00BF0D98">
        <w:trPr>
          <w:gridAfter w:val="1"/>
          <w:wAfter w:w="236" w:type="dxa"/>
          <w:trHeight w:val="435"/>
          <w:tblHeader/>
        </w:trPr>
        <w:tc>
          <w:tcPr>
            <w:tcW w:w="7083" w:type="dxa"/>
            <w:vMerge w:val="restart"/>
            <w:tcBorders>
              <w:top w:val="single" w:sz="4" w:space="0" w:color="000000"/>
              <w:left w:val="single" w:sz="4" w:space="0" w:color="000000"/>
              <w:bottom w:val="single" w:sz="4" w:space="0" w:color="000000"/>
              <w:right w:val="nil"/>
            </w:tcBorders>
            <w:vAlign w:val="center"/>
          </w:tcPr>
          <w:p w:rsidR="00BF0D98" w:rsidRDefault="00000000">
            <w:pPr>
              <w:widowControl/>
              <w:adjustRightInd w:val="0"/>
              <w:snapToGrid w:val="0"/>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科目名称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adjustRightInd w:val="0"/>
              <w:snapToGrid w:val="0"/>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w:t>
            </w:r>
          </w:p>
        </w:tc>
      </w:tr>
      <w:tr w:rsidR="00BF0D98">
        <w:trPr>
          <w:trHeight w:val="70"/>
          <w:tblHeader/>
        </w:trPr>
        <w:tc>
          <w:tcPr>
            <w:tcW w:w="7083" w:type="dxa"/>
            <w:vMerge/>
            <w:tcBorders>
              <w:top w:val="single" w:sz="4" w:space="0" w:color="000000"/>
              <w:left w:val="single" w:sz="4" w:space="0" w:color="000000"/>
              <w:bottom w:val="single" w:sz="4" w:space="0" w:color="000000"/>
              <w:right w:val="nil"/>
            </w:tcBorders>
            <w:vAlign w:val="center"/>
          </w:tcPr>
          <w:p w:rsidR="00BF0D98" w:rsidRDefault="00BF0D98">
            <w:pPr>
              <w:widowControl/>
              <w:adjustRightInd w:val="0"/>
              <w:snapToGrid w:val="0"/>
              <w:jc w:val="left"/>
              <w:rPr>
                <w:rFonts w:ascii="宋体" w:hAnsi="宋体" w:cs="宋体" w:hint="eastAsia"/>
                <w:b/>
                <w:bCs/>
                <w:kern w:val="0"/>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BF0D98" w:rsidRDefault="00BF0D98">
            <w:pPr>
              <w:widowControl/>
              <w:adjustRightInd w:val="0"/>
              <w:snapToGrid w:val="0"/>
              <w:jc w:val="left"/>
              <w:rPr>
                <w:rFonts w:ascii="宋体" w:hAnsi="宋体" w:cs="宋体" w:hint="eastAsia"/>
                <w:b/>
                <w:bCs/>
                <w:kern w:val="0"/>
                <w:sz w:val="24"/>
                <w:szCs w:val="24"/>
              </w:rPr>
            </w:pPr>
          </w:p>
        </w:tc>
        <w:tc>
          <w:tcPr>
            <w:tcW w:w="236" w:type="dxa"/>
            <w:tcBorders>
              <w:top w:val="nil"/>
              <w:left w:val="nil"/>
              <w:bottom w:val="nil"/>
              <w:right w:val="nil"/>
            </w:tcBorders>
            <w:noWrap/>
            <w:vAlign w:val="bottom"/>
          </w:tcPr>
          <w:p w:rsidR="00BF0D98" w:rsidRDefault="00BF0D98">
            <w:pPr>
              <w:widowControl/>
              <w:adjustRightInd w:val="0"/>
              <w:snapToGrid w:val="0"/>
              <w:jc w:val="center"/>
              <w:rPr>
                <w:rFonts w:ascii="宋体" w:hAnsi="宋体" w:cs="宋体" w:hint="eastAsia"/>
                <w:b/>
                <w:bCs/>
                <w:kern w:val="0"/>
                <w:sz w:val="20"/>
                <w:szCs w:val="20"/>
              </w:rPr>
            </w:pPr>
          </w:p>
        </w:tc>
      </w:tr>
      <w:tr w:rsidR="00BF0D98">
        <w:trPr>
          <w:trHeight w:val="397"/>
        </w:trPr>
        <w:tc>
          <w:tcPr>
            <w:tcW w:w="7083" w:type="dxa"/>
            <w:tcBorders>
              <w:top w:val="single" w:sz="4" w:space="0" w:color="000000"/>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center"/>
              <w:rPr>
                <w:rFonts w:ascii="宋体" w:hAnsi="宋体" w:cs="宋体" w:hint="eastAsia"/>
                <w:b/>
                <w:bCs/>
                <w:kern w:val="0"/>
                <w:sz w:val="24"/>
                <w:szCs w:val="24"/>
              </w:rPr>
            </w:pPr>
            <w:r>
              <w:rPr>
                <w:rFonts w:ascii="宋体" w:hAnsi="宋体" w:cs="宋体" w:hint="eastAsia"/>
                <w:b/>
                <w:bCs/>
                <w:kern w:val="0"/>
                <w:sz w:val="24"/>
                <w:szCs w:val="24"/>
              </w:rPr>
              <w:t>一般公共预算支出</w:t>
            </w:r>
          </w:p>
        </w:tc>
        <w:tc>
          <w:tcPr>
            <w:tcW w:w="1843" w:type="dxa"/>
            <w:tcBorders>
              <w:top w:val="single" w:sz="4" w:space="0" w:color="000000"/>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1,365,850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机关工资福利支出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60,404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工资奖金津补贴</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36,080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社会保障缴费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6,352</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住房公积金</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3,918</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其他工资福利支出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14,054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机关商品和服务支出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206,933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办公经费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17,061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会议费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113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培训费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369</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专用材料购置费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311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委托业务费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183,256</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公务接待费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25</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因公出国</w:t>
            </w:r>
            <w:proofErr w:type="gramStart"/>
            <w:r>
              <w:rPr>
                <w:rFonts w:ascii="宋体" w:hAnsi="宋体" w:cs="宋体" w:hint="eastAsia"/>
                <w:kern w:val="0"/>
                <w:sz w:val="24"/>
                <w:szCs w:val="24"/>
              </w:rPr>
              <w:t>(境)</w:t>
            </w:r>
            <w:proofErr w:type="gramEnd"/>
            <w:r>
              <w:rPr>
                <w:rFonts w:ascii="宋体" w:hAnsi="宋体" w:cs="宋体" w:hint="eastAsia"/>
                <w:kern w:val="0"/>
                <w:sz w:val="24"/>
                <w:szCs w:val="24"/>
              </w:rPr>
              <w:t>费用</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12</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公务用车运行维护费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551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维修</w:t>
            </w:r>
            <w:proofErr w:type="gramStart"/>
            <w:r>
              <w:rPr>
                <w:rFonts w:ascii="宋体" w:hAnsi="宋体" w:cs="宋体" w:hint="eastAsia"/>
                <w:kern w:val="0"/>
                <w:sz w:val="24"/>
                <w:szCs w:val="24"/>
              </w:rPr>
              <w:t>(护)</w:t>
            </w:r>
            <w:proofErr w:type="gramEnd"/>
            <w:r>
              <w:rPr>
                <w:rFonts w:ascii="宋体" w:hAnsi="宋体" w:cs="宋体" w:hint="eastAsia"/>
                <w:kern w:val="0"/>
                <w:sz w:val="24"/>
                <w:szCs w:val="24"/>
              </w:rPr>
              <w:t>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1,978</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其他商品和服务支出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3,257</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机关资本性支出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37,182</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房屋建筑物购建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30,251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基础设施建设</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1,016</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公务用车购置</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144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土地征迁补偿和安置支出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设备购置</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3,197</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大型修缮</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2,419</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lastRenderedPageBreak/>
              <w:t xml:space="preserve">  其他资本性支出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155</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机关资本性支出</w:t>
            </w:r>
            <w:proofErr w:type="gramStart"/>
            <w:r>
              <w:rPr>
                <w:rFonts w:ascii="宋体" w:hAnsi="宋体" w:cs="宋体" w:hint="eastAsia"/>
                <w:b/>
                <w:bCs/>
                <w:kern w:val="0"/>
                <w:sz w:val="24"/>
                <w:szCs w:val="24"/>
              </w:rPr>
              <w:t>(基本建设)</w:t>
            </w:r>
            <w:proofErr w:type="gramEnd"/>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26,388</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房屋建筑物购建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4,210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基础设施建设</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22,178</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公务用车购置</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设备购置</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大型修缮</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其他资本性支出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对事业单位经常性补助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217,768</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工资福利支出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114,829</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商品和服务支出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94,874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其他对事业单位补助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8,065</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对事业单位资本性补助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资本性支出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资本性支出</w:t>
            </w:r>
            <w:proofErr w:type="gramStart"/>
            <w:r>
              <w:rPr>
                <w:rFonts w:ascii="宋体" w:hAnsi="宋体" w:cs="宋体" w:hint="eastAsia"/>
                <w:kern w:val="0"/>
                <w:sz w:val="24"/>
                <w:szCs w:val="24"/>
              </w:rPr>
              <w:t>(基本建设)</w:t>
            </w:r>
            <w:proofErr w:type="gramEnd"/>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对企业补助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467,127</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费用补贴</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466,787</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利息补贴</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340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其他对企业补助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对企业资本性支出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256,050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资本金注入</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256,050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资本金注入</w:t>
            </w:r>
            <w:proofErr w:type="gramStart"/>
            <w:r>
              <w:rPr>
                <w:rFonts w:ascii="宋体" w:hAnsi="宋体" w:cs="宋体" w:hint="eastAsia"/>
                <w:kern w:val="0"/>
                <w:sz w:val="24"/>
                <w:szCs w:val="24"/>
              </w:rPr>
              <w:t>(基本建设)</w:t>
            </w:r>
            <w:proofErr w:type="gramEnd"/>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政府投资基金股权投资</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其他对企业资本性支出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对个人和家庭的补助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38,101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社会福利和救助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33,033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助学金</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5,001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个人农业生产补贴</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64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离退休费</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lastRenderedPageBreak/>
              <w:t xml:space="preserve">  其他对个人和家庭的补助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对社会保障基金补助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223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对社会保险基金补助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223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补充全国社会保障基金</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对机关事业单位职业年金的补助</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债务利息及费用支出</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55,674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国内债务付息</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55,660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国外债务付息</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国内债务发行费用</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083"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国外债务发行费用</w:t>
            </w:r>
          </w:p>
        </w:tc>
        <w:tc>
          <w:tcPr>
            <w:tcW w:w="1843"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bl>
    <w:p w:rsidR="00BF0D98" w:rsidRDefault="00BF0D98">
      <w:pPr>
        <w:widowControl/>
        <w:adjustRightInd w:val="0"/>
        <w:snapToGrid w:val="0"/>
        <w:jc w:val="center"/>
        <w:rPr>
          <w:rFonts w:ascii="方正小标宋_GBK" w:eastAsia="方正小标宋_GBK" w:hAnsi="Times New Roman"/>
          <w:sz w:val="36"/>
          <w:szCs w:val="24"/>
        </w:rPr>
      </w:pPr>
    </w:p>
    <w:p w:rsidR="00BF0D98" w:rsidRDefault="00000000">
      <w:pPr>
        <w:widowControl/>
        <w:jc w:val="left"/>
        <w:rPr>
          <w:rFonts w:ascii="Times New Roman" w:eastAsia="方正小标宋_GBK" w:hAnsi="Times New Roman"/>
          <w:sz w:val="36"/>
          <w:szCs w:val="24"/>
        </w:rPr>
      </w:pPr>
      <w:r>
        <w:rPr>
          <w:rFonts w:ascii="Times New Roman" w:eastAsia="方正小标宋_GBK" w:hAnsi="Times New Roman"/>
          <w:sz w:val="36"/>
          <w:szCs w:val="24"/>
        </w:rPr>
        <w:br w:type="page"/>
      </w:r>
    </w:p>
    <w:p w:rsidR="00BF0D98" w:rsidRDefault="00000000" w:rsidP="009A3D02">
      <w:pPr>
        <w:spacing w:line="600" w:lineRule="exact"/>
        <w:ind w:leftChars="-1" w:left="142" w:hangingChars="45" w:hanging="144"/>
        <w:jc w:val="left"/>
        <w:rPr>
          <w:rFonts w:ascii="方正黑体_GBK" w:eastAsia="方正黑体_GBK" w:hAnsi="Times New Roman"/>
          <w:sz w:val="36"/>
          <w:szCs w:val="24"/>
        </w:rPr>
      </w:pPr>
      <w:r w:rsidRPr="009A3D02">
        <w:rPr>
          <w:rFonts w:ascii="方正黑体_GBK" w:eastAsia="方正黑体_GBK" w:hAnsi="Times New Roman" w:hint="eastAsia"/>
          <w:sz w:val="32"/>
        </w:rPr>
        <w:lastRenderedPageBreak/>
        <w:t>表4</w:t>
      </w:r>
    </w:p>
    <w:p w:rsidR="00BF0D98" w:rsidRDefault="00000000">
      <w:pPr>
        <w:widowControl/>
        <w:adjustRightInd w:val="0"/>
        <w:snapToGrid w:val="0"/>
        <w:jc w:val="center"/>
        <w:rPr>
          <w:rFonts w:ascii="方正小标宋_GBK" w:eastAsia="方正小标宋_GBK" w:hAnsi="Times New Roman" w:cs="宋体"/>
          <w:color w:val="0D0D0D"/>
          <w:kern w:val="0"/>
          <w:sz w:val="36"/>
          <w:szCs w:val="36"/>
        </w:rPr>
      </w:pPr>
      <w:r>
        <w:rPr>
          <w:rFonts w:ascii="方正小标宋_GBK" w:eastAsia="方正小标宋_GBK" w:hAnsi="Times New Roman" w:cs="宋体" w:hint="eastAsia"/>
          <w:color w:val="0D0D0D"/>
          <w:kern w:val="0"/>
          <w:sz w:val="36"/>
          <w:szCs w:val="36"/>
        </w:rPr>
        <w:t>一般公共预算基本支出决算表</w:t>
      </w:r>
    </w:p>
    <w:p w:rsidR="00BF0D98" w:rsidRDefault="00000000">
      <w:pPr>
        <w:widowControl/>
        <w:adjustRightInd w:val="0"/>
        <w:snapToGrid w:val="0"/>
        <w:jc w:val="center"/>
        <w:rPr>
          <w:rFonts w:ascii="方正楷体_GBK" w:eastAsia="方正楷体_GBK" w:hAnsi="Times New Roman" w:cs="宋体"/>
          <w:color w:val="0D0D0D"/>
          <w:kern w:val="0"/>
          <w:sz w:val="40"/>
          <w:szCs w:val="40"/>
        </w:rPr>
      </w:pPr>
      <w:r>
        <w:rPr>
          <w:rFonts w:ascii="方正楷体_GBK" w:eastAsia="方正楷体_GBK" w:hAnsi="Times New Roman" w:cs="宋体" w:hint="eastAsia"/>
          <w:color w:val="0D0D0D"/>
          <w:kern w:val="0"/>
          <w:sz w:val="32"/>
          <w:szCs w:val="32"/>
        </w:rPr>
        <w:t>（按经济分类科目）</w:t>
      </w:r>
    </w:p>
    <w:p w:rsidR="00BF0D98" w:rsidRDefault="00000000" w:rsidP="009A3D02">
      <w:pPr>
        <w:widowControl/>
        <w:adjustRightInd w:val="0"/>
        <w:snapToGrid w:val="0"/>
        <w:ind w:rightChars="-108" w:right="-227"/>
        <w:jc w:val="right"/>
        <w:rPr>
          <w:rFonts w:ascii="方正楷体_GBK" w:eastAsia="方正楷体_GBK" w:hAnsi="Times New Roman"/>
          <w:sz w:val="36"/>
          <w:szCs w:val="24"/>
        </w:rPr>
      </w:pPr>
      <w:r w:rsidRPr="009A3D02">
        <w:rPr>
          <w:rFonts w:ascii="方正楷体_GBK" w:eastAsia="方正楷体_GBK" w:hAnsi="Times New Roman" w:hint="eastAsia"/>
          <w:sz w:val="24"/>
          <w:szCs w:val="20"/>
        </w:rPr>
        <w:t>单位：万元</w:t>
      </w:r>
    </w:p>
    <w:tbl>
      <w:tblPr>
        <w:tblW w:w="9162" w:type="dxa"/>
        <w:tblInd w:w="113" w:type="dxa"/>
        <w:tblLook w:val="04A0" w:firstRow="1" w:lastRow="0" w:firstColumn="1" w:lastColumn="0" w:noHBand="0" w:noVBand="1"/>
      </w:tblPr>
      <w:tblGrid>
        <w:gridCol w:w="7650"/>
        <w:gridCol w:w="1276"/>
        <w:gridCol w:w="236"/>
      </w:tblGrid>
      <w:tr w:rsidR="00BF0D98">
        <w:trPr>
          <w:gridAfter w:val="1"/>
          <w:wAfter w:w="236" w:type="dxa"/>
          <w:trHeight w:val="435"/>
          <w:tblHeader/>
        </w:trPr>
        <w:tc>
          <w:tcPr>
            <w:tcW w:w="7650" w:type="dxa"/>
            <w:vMerge w:val="restart"/>
            <w:tcBorders>
              <w:top w:val="single" w:sz="4" w:space="0" w:color="000000"/>
              <w:left w:val="single" w:sz="4" w:space="0" w:color="000000"/>
              <w:bottom w:val="single" w:sz="4" w:space="0" w:color="000000"/>
              <w:right w:val="nil"/>
            </w:tcBorders>
            <w:vAlign w:val="center"/>
          </w:tcPr>
          <w:p w:rsidR="00BF0D98" w:rsidRDefault="00000000">
            <w:pPr>
              <w:widowControl/>
              <w:adjustRightInd w:val="0"/>
              <w:snapToGrid w:val="0"/>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科目名称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adjustRightInd w:val="0"/>
              <w:snapToGrid w:val="0"/>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w:t>
            </w:r>
          </w:p>
        </w:tc>
      </w:tr>
      <w:tr w:rsidR="00BF0D98">
        <w:trPr>
          <w:trHeight w:val="70"/>
          <w:tblHeader/>
        </w:trPr>
        <w:tc>
          <w:tcPr>
            <w:tcW w:w="7650" w:type="dxa"/>
            <w:vMerge/>
            <w:tcBorders>
              <w:top w:val="single" w:sz="4" w:space="0" w:color="000000"/>
              <w:left w:val="single" w:sz="4" w:space="0" w:color="000000"/>
              <w:bottom w:val="single" w:sz="4" w:space="0" w:color="000000"/>
              <w:right w:val="nil"/>
            </w:tcBorders>
            <w:vAlign w:val="center"/>
          </w:tcPr>
          <w:p w:rsidR="00BF0D98" w:rsidRDefault="00BF0D98">
            <w:pPr>
              <w:widowControl/>
              <w:adjustRightInd w:val="0"/>
              <w:snapToGrid w:val="0"/>
              <w:jc w:val="left"/>
              <w:rPr>
                <w:rFonts w:ascii="宋体" w:hAnsi="宋体" w:cs="宋体" w:hint="eastAsia"/>
                <w:b/>
                <w:bCs/>
                <w:kern w:val="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F0D98" w:rsidRDefault="00BF0D98">
            <w:pPr>
              <w:widowControl/>
              <w:adjustRightInd w:val="0"/>
              <w:snapToGrid w:val="0"/>
              <w:jc w:val="left"/>
              <w:rPr>
                <w:rFonts w:ascii="宋体" w:hAnsi="宋体" w:cs="宋体" w:hint="eastAsia"/>
                <w:b/>
                <w:bCs/>
                <w:kern w:val="0"/>
                <w:sz w:val="24"/>
                <w:szCs w:val="24"/>
              </w:rPr>
            </w:pPr>
          </w:p>
        </w:tc>
        <w:tc>
          <w:tcPr>
            <w:tcW w:w="236" w:type="dxa"/>
            <w:tcBorders>
              <w:top w:val="nil"/>
              <w:left w:val="nil"/>
              <w:bottom w:val="nil"/>
              <w:right w:val="nil"/>
            </w:tcBorders>
            <w:noWrap/>
            <w:vAlign w:val="bottom"/>
          </w:tcPr>
          <w:p w:rsidR="00BF0D98" w:rsidRDefault="00BF0D98">
            <w:pPr>
              <w:widowControl/>
              <w:adjustRightInd w:val="0"/>
              <w:snapToGrid w:val="0"/>
              <w:jc w:val="center"/>
              <w:rPr>
                <w:rFonts w:ascii="宋体" w:hAnsi="宋体" w:cs="宋体" w:hint="eastAsia"/>
                <w:b/>
                <w:bCs/>
                <w:kern w:val="0"/>
                <w:sz w:val="20"/>
                <w:szCs w:val="20"/>
              </w:rPr>
            </w:pPr>
          </w:p>
        </w:tc>
      </w:tr>
      <w:tr w:rsidR="00BF0D98">
        <w:trPr>
          <w:trHeight w:val="397"/>
        </w:trPr>
        <w:tc>
          <w:tcPr>
            <w:tcW w:w="7650" w:type="dxa"/>
            <w:tcBorders>
              <w:top w:val="single" w:sz="4" w:space="0" w:color="000000"/>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center"/>
              <w:rPr>
                <w:rFonts w:ascii="宋体" w:hAnsi="宋体" w:cs="宋体" w:hint="eastAsia"/>
                <w:b/>
                <w:bCs/>
                <w:kern w:val="0"/>
                <w:sz w:val="24"/>
                <w:szCs w:val="24"/>
              </w:rPr>
            </w:pPr>
            <w:r>
              <w:rPr>
                <w:rFonts w:ascii="宋体" w:hAnsi="宋体" w:cs="宋体" w:hint="eastAsia"/>
                <w:b/>
                <w:bCs/>
                <w:kern w:val="0"/>
                <w:sz w:val="24"/>
                <w:szCs w:val="24"/>
              </w:rPr>
              <w:t>一般公共预算支出</w:t>
            </w:r>
          </w:p>
        </w:tc>
        <w:tc>
          <w:tcPr>
            <w:tcW w:w="1276" w:type="dxa"/>
            <w:tcBorders>
              <w:top w:val="single" w:sz="4" w:space="0" w:color="000000"/>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207,575</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机关工资福利支出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60,404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工资奖金津补贴</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36,080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社会保障缴费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6,352</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住房公积金</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3,918</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其他工资福利支出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14,054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机关商品和服务支出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9,212</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办公经费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5,361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会议费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46</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培训费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163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专用材料购置费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委托业务费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1,619</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公务接待费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25</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因公出国</w:t>
            </w:r>
            <w:proofErr w:type="gramStart"/>
            <w:r>
              <w:rPr>
                <w:rFonts w:ascii="宋体" w:hAnsi="宋体" w:cs="宋体" w:hint="eastAsia"/>
                <w:kern w:val="0"/>
                <w:sz w:val="24"/>
                <w:szCs w:val="24"/>
              </w:rPr>
              <w:t>(境)</w:t>
            </w:r>
            <w:proofErr w:type="gramEnd"/>
            <w:r>
              <w:rPr>
                <w:rFonts w:ascii="宋体" w:hAnsi="宋体" w:cs="宋体" w:hint="eastAsia"/>
                <w:kern w:val="0"/>
                <w:sz w:val="24"/>
                <w:szCs w:val="24"/>
              </w:rPr>
              <w:t>费用</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公务用车运行维护费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551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维修</w:t>
            </w:r>
            <w:proofErr w:type="gramStart"/>
            <w:r>
              <w:rPr>
                <w:rFonts w:ascii="宋体" w:hAnsi="宋体" w:cs="宋体" w:hint="eastAsia"/>
                <w:kern w:val="0"/>
                <w:sz w:val="24"/>
                <w:szCs w:val="24"/>
              </w:rPr>
              <w:t>(护)</w:t>
            </w:r>
            <w:proofErr w:type="gramEnd"/>
            <w:r>
              <w:rPr>
                <w:rFonts w:ascii="宋体" w:hAnsi="宋体" w:cs="宋体" w:hint="eastAsia"/>
                <w:kern w:val="0"/>
                <w:sz w:val="24"/>
                <w:szCs w:val="24"/>
              </w:rPr>
              <w:t>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84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其他商品和服务支出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1,361</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机关资本性支出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236</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房屋建筑物购建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基础设施建设</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公务用车购置</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144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土地征迁补偿和安置支出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设备购置</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89</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大型修缮</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lastRenderedPageBreak/>
              <w:t xml:space="preserve">  其他资本性支出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机关资本性支出</w:t>
            </w:r>
            <w:proofErr w:type="gramStart"/>
            <w:r>
              <w:rPr>
                <w:rFonts w:ascii="宋体" w:hAnsi="宋体" w:cs="宋体" w:hint="eastAsia"/>
                <w:b/>
                <w:bCs/>
                <w:kern w:val="0"/>
                <w:sz w:val="24"/>
                <w:szCs w:val="24"/>
              </w:rPr>
              <w:t>(基本建设)</w:t>
            </w:r>
            <w:proofErr w:type="gramEnd"/>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房屋建筑物购建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基础设施建设</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公务用车购置</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设备购置</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大型修缮</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其他资本性支出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对事业单位经常性补助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132,906</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工资福利支出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114,829</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商品和服务支出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16,770</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其他对事业单位补助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1,307</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对事业单位资本性补助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资本性支出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资本性支出</w:t>
            </w:r>
            <w:proofErr w:type="gramStart"/>
            <w:r>
              <w:rPr>
                <w:rFonts w:ascii="宋体" w:hAnsi="宋体" w:cs="宋体" w:hint="eastAsia"/>
                <w:kern w:val="0"/>
                <w:sz w:val="24"/>
                <w:szCs w:val="24"/>
              </w:rPr>
              <w:t>(基本建设)</w:t>
            </w:r>
            <w:proofErr w:type="gramEnd"/>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对企业补助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费用补贴</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利息补贴</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其他对企业补助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对企业资本性支出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资本金注入</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资本金注入</w:t>
            </w:r>
            <w:proofErr w:type="gramStart"/>
            <w:r>
              <w:rPr>
                <w:rFonts w:ascii="宋体" w:hAnsi="宋体" w:cs="宋体" w:hint="eastAsia"/>
                <w:kern w:val="0"/>
                <w:sz w:val="24"/>
                <w:szCs w:val="24"/>
              </w:rPr>
              <w:t>(基本建设)</w:t>
            </w:r>
            <w:proofErr w:type="gramEnd"/>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政府投资基金股权投资</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其他对企业资本性支出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对个人和家庭的补助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4,817</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社会福利和救助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4,814</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助学金</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个人农业生产补贴</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离退休费</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3</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lastRenderedPageBreak/>
              <w:t xml:space="preserve">  其他对个人和家庭的补助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对社会保障基金补助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对社会保险基金补助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补充全国社会保障基金</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对机关事业单位职业年金的补助</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b/>
                <w:bCs/>
                <w:kern w:val="0"/>
                <w:sz w:val="24"/>
                <w:szCs w:val="24"/>
              </w:rPr>
            </w:pPr>
            <w:r>
              <w:rPr>
                <w:rFonts w:ascii="宋体" w:hAnsi="宋体" w:cs="宋体" w:hint="eastAsia"/>
                <w:b/>
                <w:bCs/>
                <w:kern w:val="0"/>
                <w:sz w:val="24"/>
                <w:szCs w:val="24"/>
              </w:rPr>
              <w:t>债务利息及费用支出</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国内债务付息</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国外债务付息</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国内债务发行费用</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r w:rsidR="00BF0D98">
        <w:trPr>
          <w:trHeight w:val="397"/>
        </w:trPr>
        <w:tc>
          <w:tcPr>
            <w:tcW w:w="7650" w:type="dxa"/>
            <w:tcBorders>
              <w:top w:val="nil"/>
              <w:left w:val="single" w:sz="4" w:space="0" w:color="000000"/>
              <w:bottom w:val="single" w:sz="4" w:space="0" w:color="000000"/>
              <w:right w:val="single" w:sz="4" w:space="0" w:color="000000"/>
            </w:tcBorders>
            <w:noWrap/>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国外债务发行费用</w:t>
            </w:r>
          </w:p>
        </w:tc>
        <w:tc>
          <w:tcPr>
            <w:tcW w:w="1276" w:type="dxa"/>
            <w:tcBorders>
              <w:top w:val="nil"/>
              <w:left w:val="nil"/>
              <w:bottom w:val="single" w:sz="4" w:space="0" w:color="000000"/>
              <w:right w:val="single" w:sz="4" w:space="0" w:color="000000"/>
            </w:tcBorders>
            <w:noWrap/>
            <w:vAlign w:val="center"/>
          </w:tcPr>
          <w:p w:rsidR="00BF0D98" w:rsidRDefault="00000000">
            <w:pPr>
              <w:widowControl/>
              <w:adjustRightInd w:val="0"/>
              <w:snapToGrid w:val="0"/>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236" w:type="dxa"/>
            <w:vAlign w:val="center"/>
          </w:tcPr>
          <w:p w:rsidR="00BF0D98" w:rsidRDefault="00BF0D98">
            <w:pPr>
              <w:widowControl/>
              <w:adjustRightInd w:val="0"/>
              <w:snapToGrid w:val="0"/>
              <w:jc w:val="left"/>
              <w:rPr>
                <w:rFonts w:ascii="Times New Roman" w:eastAsia="Times New Roman" w:hAnsi="Times New Roman"/>
                <w:kern w:val="0"/>
                <w:sz w:val="20"/>
                <w:szCs w:val="20"/>
              </w:rPr>
            </w:pPr>
          </w:p>
        </w:tc>
      </w:tr>
    </w:tbl>
    <w:p w:rsidR="00BF0D98" w:rsidRDefault="00BF0D98">
      <w:pPr>
        <w:widowControl/>
        <w:jc w:val="left"/>
        <w:rPr>
          <w:rFonts w:ascii="Times New Roman" w:eastAsia="方正小标宋_GBK" w:hAnsi="Times New Roman"/>
          <w:sz w:val="36"/>
          <w:szCs w:val="24"/>
        </w:rPr>
      </w:pPr>
    </w:p>
    <w:p w:rsidR="00BF0D98" w:rsidRDefault="00000000">
      <w:pPr>
        <w:widowControl/>
        <w:jc w:val="left"/>
        <w:rPr>
          <w:rFonts w:ascii="Times New Roman" w:eastAsia="方正小标宋_GBK" w:hAnsi="Times New Roman"/>
          <w:sz w:val="36"/>
          <w:szCs w:val="24"/>
        </w:rPr>
      </w:pPr>
      <w:r>
        <w:rPr>
          <w:rFonts w:ascii="Times New Roman" w:eastAsia="方正小标宋_GBK" w:hAnsi="Times New Roman"/>
          <w:sz w:val="36"/>
          <w:szCs w:val="24"/>
        </w:rPr>
        <w:br w:type="page"/>
      </w:r>
    </w:p>
    <w:p w:rsidR="00BF0D98" w:rsidRDefault="00000000">
      <w:pPr>
        <w:spacing w:line="600" w:lineRule="exact"/>
        <w:ind w:leftChars="-44" w:left="33" w:hangingChars="39" w:hanging="125"/>
        <w:jc w:val="left"/>
        <w:rPr>
          <w:rFonts w:ascii="Times New Roman" w:eastAsia="方正小标宋_GBK" w:hAnsi="Times New Roman"/>
          <w:sz w:val="36"/>
          <w:szCs w:val="24"/>
        </w:rPr>
      </w:pPr>
      <w:r w:rsidRPr="009A3D02">
        <w:rPr>
          <w:rFonts w:ascii="方正黑体_GBK" w:eastAsia="方正黑体_GBK" w:hAnsi="Times New Roman" w:hint="eastAsia"/>
          <w:sz w:val="32"/>
        </w:rPr>
        <w:lastRenderedPageBreak/>
        <w:t>表5</w:t>
      </w:r>
    </w:p>
    <w:p w:rsidR="00BF0D98" w:rsidRDefault="00000000">
      <w:pPr>
        <w:spacing w:line="600" w:lineRule="exact"/>
        <w:ind w:firstLineChars="200" w:firstLine="720"/>
        <w:jc w:val="center"/>
        <w:rPr>
          <w:rFonts w:ascii="Times New Roman" w:eastAsia="方正小标宋_GBK" w:hAnsi="Times New Roman"/>
          <w:sz w:val="32"/>
        </w:rPr>
      </w:pPr>
      <w:r>
        <w:rPr>
          <w:rFonts w:ascii="Times New Roman" w:eastAsia="方正小标宋_GBK" w:hAnsi="Times New Roman"/>
          <w:sz w:val="36"/>
          <w:szCs w:val="24"/>
        </w:rPr>
        <w:t>2024</w:t>
      </w:r>
      <w:r>
        <w:rPr>
          <w:rFonts w:ascii="Times New Roman" w:eastAsia="方正小标宋_GBK" w:hAnsi="Times New Roman"/>
          <w:sz w:val="36"/>
          <w:szCs w:val="24"/>
        </w:rPr>
        <w:t>年一般公共预算转移支付收支</w:t>
      </w:r>
      <w:r>
        <w:rPr>
          <w:rFonts w:ascii="Times New Roman" w:eastAsia="方正小标宋_GBK" w:hAnsi="Times New Roman" w:hint="eastAsia"/>
          <w:sz w:val="36"/>
          <w:szCs w:val="24"/>
        </w:rPr>
        <w:t>决算</w:t>
      </w:r>
      <w:r>
        <w:rPr>
          <w:rFonts w:ascii="Times New Roman" w:eastAsia="方正小标宋_GBK" w:hAnsi="Times New Roman"/>
          <w:sz w:val="36"/>
          <w:szCs w:val="24"/>
        </w:rPr>
        <w:t>表</w:t>
      </w:r>
    </w:p>
    <w:p w:rsidR="00BF0D98" w:rsidRDefault="00000000" w:rsidP="009A3D02">
      <w:pPr>
        <w:spacing w:line="600" w:lineRule="exact"/>
        <w:ind w:rightChars="-648" w:right="-1361" w:firstLineChars="683" w:firstLine="1639"/>
        <w:jc w:val="right"/>
        <w:rPr>
          <w:rFonts w:ascii="Times New Roman" w:eastAsia="方正楷体_GBK" w:hAnsi="Times New Roman"/>
          <w:sz w:val="32"/>
        </w:rPr>
      </w:pPr>
      <w:r>
        <w:rPr>
          <w:rFonts w:ascii="Times New Roman" w:eastAsia="方正楷体_GBK" w:hAnsi="Times New Roman"/>
          <w:sz w:val="24"/>
          <w:szCs w:val="20"/>
        </w:rPr>
        <w:t>单位：万元</w:t>
      </w:r>
    </w:p>
    <w:tbl>
      <w:tblPr>
        <w:tblW w:w="10173" w:type="dxa"/>
        <w:tblLook w:val="04A0" w:firstRow="1" w:lastRow="0" w:firstColumn="1" w:lastColumn="0" w:noHBand="0" w:noVBand="1"/>
      </w:tblPr>
      <w:tblGrid>
        <w:gridCol w:w="4390"/>
        <w:gridCol w:w="1134"/>
        <w:gridCol w:w="1105"/>
        <w:gridCol w:w="1559"/>
        <w:gridCol w:w="992"/>
        <w:gridCol w:w="993"/>
      </w:tblGrid>
      <w:tr w:rsidR="00BF0D98">
        <w:trPr>
          <w:trHeight w:val="312"/>
          <w:tblHeader/>
        </w:trPr>
        <w:tc>
          <w:tcPr>
            <w:tcW w:w="4390"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项</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目</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上年</w:t>
            </w:r>
          </w:p>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决算数</w:t>
            </w:r>
          </w:p>
        </w:tc>
        <w:tc>
          <w:tcPr>
            <w:tcW w:w="1105"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1559"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项</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目</w:t>
            </w:r>
          </w:p>
        </w:tc>
        <w:tc>
          <w:tcPr>
            <w:tcW w:w="992"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上年</w:t>
            </w:r>
          </w:p>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决算数</w:t>
            </w:r>
          </w:p>
        </w:tc>
        <w:tc>
          <w:tcPr>
            <w:tcW w:w="993"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上级补助收入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258,421</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649,909</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转移性支出</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0</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0</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返还性收入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13,281</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13,281</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所得税基数返还收入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543</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543</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成品油税费改革税收返还收入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增值税税收返还收入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2,466</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2,466</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消费税税收返还收入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99</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99</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增值税</w:t>
            </w:r>
            <w:r>
              <w:rPr>
                <w:rFonts w:ascii="Times New Roman" w:hAnsi="Times New Roman"/>
                <w:kern w:val="0"/>
                <w:sz w:val="24"/>
                <w:szCs w:val="24"/>
              </w:rPr>
              <w:t>“</w:t>
            </w:r>
            <w:r>
              <w:rPr>
                <w:rFonts w:ascii="Times New Roman" w:hAnsi="Times New Roman"/>
                <w:kern w:val="0"/>
                <w:sz w:val="24"/>
                <w:szCs w:val="24"/>
              </w:rPr>
              <w:t>五五分享</w:t>
            </w:r>
            <w:r>
              <w:rPr>
                <w:rFonts w:ascii="Times New Roman" w:hAnsi="Times New Roman"/>
                <w:kern w:val="0"/>
                <w:sz w:val="24"/>
                <w:szCs w:val="24"/>
              </w:rPr>
              <w:t>”</w:t>
            </w:r>
            <w:r>
              <w:rPr>
                <w:rFonts w:ascii="Times New Roman" w:hAnsi="Times New Roman"/>
                <w:kern w:val="0"/>
                <w:sz w:val="24"/>
                <w:szCs w:val="24"/>
              </w:rPr>
              <w:t>税收返还收入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10,173</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10,173</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其他返还性收入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一般性转移支付收入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185,147</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b/>
                <w:bCs/>
                <w:kern w:val="0"/>
                <w:sz w:val="24"/>
                <w:szCs w:val="24"/>
              </w:rPr>
            </w:pPr>
            <w:r>
              <w:rPr>
                <w:rFonts w:ascii="Times New Roman" w:hAnsi="Times New Roman"/>
                <w:b/>
                <w:bCs/>
                <w:kern w:val="0"/>
                <w:sz w:val="24"/>
                <w:szCs w:val="24"/>
              </w:rPr>
              <w:t>328,490</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体制补助收入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136</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136</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均衡性转移支付收入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3,333</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2,872</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县级基本财力保障机制奖补资金收入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结算补助收入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110,489</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254,176</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资源枯竭型城市转移支付补助收入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企业事业单位划转补助收入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产粮</w:t>
            </w:r>
            <w:proofErr w:type="gramStart"/>
            <w:r>
              <w:rPr>
                <w:rFonts w:ascii="Times New Roman" w:hAnsi="Times New Roman"/>
                <w:kern w:val="0"/>
                <w:sz w:val="24"/>
                <w:szCs w:val="24"/>
              </w:rPr>
              <w:t>(</w:t>
            </w:r>
            <w:r>
              <w:rPr>
                <w:rFonts w:ascii="Times New Roman" w:hAnsi="Times New Roman"/>
                <w:kern w:val="0"/>
                <w:sz w:val="24"/>
                <w:szCs w:val="24"/>
              </w:rPr>
              <w:t>油</w:t>
            </w:r>
            <w:r>
              <w:rPr>
                <w:rFonts w:ascii="Times New Roman" w:hAnsi="Times New Roman"/>
                <w:kern w:val="0"/>
                <w:sz w:val="24"/>
                <w:szCs w:val="24"/>
              </w:rPr>
              <w:t>)</w:t>
            </w:r>
            <w:proofErr w:type="gramEnd"/>
            <w:r>
              <w:rPr>
                <w:rFonts w:ascii="Times New Roman" w:hAnsi="Times New Roman"/>
                <w:kern w:val="0"/>
                <w:sz w:val="24"/>
                <w:szCs w:val="24"/>
              </w:rPr>
              <w:t>大县奖励资金收入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重点生态功能区转移支付收入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固定数额补助收入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1,331</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1,131</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革命老区转移支付收入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民族地区转移支付收入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边境地区转移支付收入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巩固脱贫攻坚成果衔接乡村振兴转移支付收入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552</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1,877</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一般公共服务共同财政事权转移支付收入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外交共同财政事权转移支付收入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国防共同财政事权转移支付收入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公共安全共同财政事权转移支付收入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4,484</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4,562</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教育共同财政事权转移支付收入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14,859</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15,666</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lastRenderedPageBreak/>
              <w:t xml:space="preserve">    </w:t>
            </w:r>
            <w:r>
              <w:rPr>
                <w:rFonts w:ascii="Times New Roman" w:hAnsi="Times New Roman"/>
                <w:kern w:val="0"/>
                <w:sz w:val="24"/>
                <w:szCs w:val="24"/>
              </w:rPr>
              <w:t>科学技术共同财政事权转移支付收入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562</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5,282</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文化旅游体育与传媒共同财政事权转移支付收入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215</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235</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社会保障和就业共同财政事权转移支付收入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11,030</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12,472</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医疗卫生共同财政事权转移支付收入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7,453</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7,779</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节能环保共同财政事权转移支付收入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44</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44</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城乡社区共同财政事权转移支付收入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农林水共同财政事权转移支付收入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5,930</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1,070</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交通运输共同财政事权转移支付收入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3,116</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1,675</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资源勘探工业信息等共同财政事权转移支付收入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商业服务业等共同财政事权转移支付收入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金融共同财政事权转移支付收入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自然资源海洋气象等共同财政事权转移支付收入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住房保障共同财政事权转移支付收入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11,319</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19,413</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粮油物资储备共同财政事权转移支付收入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灾害防治及应急管理共同财政事权转移支付收入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其他共同财政事权转移支付收入</w:t>
            </w:r>
            <w:r>
              <w:rPr>
                <w:rFonts w:ascii="Times New Roman"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增值税留抵退税转移支付收入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6,600</w:t>
            </w: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其他退税减税降费转移支付收入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3,100</w:t>
            </w: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补充县区财力转移支付收入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其他一般性转移支付收入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594</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100</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专项转移支付收入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59,993</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308,138</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一般公共服务</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160</w:t>
            </w: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外交</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国防</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w:t>
            </w: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lastRenderedPageBreak/>
              <w:t xml:space="preserve">    </w:t>
            </w:r>
            <w:r>
              <w:rPr>
                <w:rFonts w:ascii="Times New Roman" w:hAnsi="Times New Roman"/>
                <w:kern w:val="0"/>
                <w:sz w:val="24"/>
                <w:szCs w:val="24"/>
              </w:rPr>
              <w:t>公共安全</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教育</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5,000</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科学技术</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15,073</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1,418</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文化旅游体育与传媒</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85</w:t>
            </w: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社会保障和就业</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232</w:t>
            </w: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卫生健康</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286</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143</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节能环保</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7,843</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4,078</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城乡社区</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24,184</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农林水</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2,097</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782</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交通运输</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830</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363</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资源勘探工业信息等</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14,997</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226,027</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商业服务业等</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4,565</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4,973</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金融</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自然资源海洋气象等</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386</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13,586</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住房保障</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12,440</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20,013</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粮油物资储备</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84</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54</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灾害防治及应急管理</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905</w:t>
            </w: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717</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312"/>
        </w:trPr>
        <w:tc>
          <w:tcPr>
            <w:tcW w:w="4390"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其他收入</w:t>
            </w:r>
          </w:p>
        </w:tc>
        <w:tc>
          <w:tcPr>
            <w:tcW w:w="1134"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hAnsi="Times New Roman"/>
                <w:kern w:val="0"/>
                <w:sz w:val="24"/>
                <w:szCs w:val="24"/>
              </w:rPr>
            </w:pPr>
          </w:p>
        </w:tc>
        <w:tc>
          <w:tcPr>
            <w:tcW w:w="110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6,800</w:t>
            </w:r>
          </w:p>
        </w:tc>
        <w:tc>
          <w:tcPr>
            <w:tcW w:w="1559"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2"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993"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bl>
    <w:p w:rsidR="00BF0D98" w:rsidRDefault="00BF0D98">
      <w:pPr>
        <w:spacing w:line="600" w:lineRule="exact"/>
        <w:ind w:firstLineChars="200" w:firstLine="640"/>
        <w:jc w:val="center"/>
        <w:rPr>
          <w:rFonts w:ascii="Times New Roman" w:eastAsia="方正小标宋_GBK" w:hAnsi="Times New Roman"/>
          <w:sz w:val="32"/>
        </w:rPr>
      </w:pPr>
    </w:p>
    <w:p w:rsidR="00BF0D98" w:rsidRDefault="00BF0D98">
      <w:pPr>
        <w:widowControl/>
        <w:jc w:val="left"/>
        <w:rPr>
          <w:rFonts w:ascii="Times New Roman" w:eastAsia="方正小标宋_GBK" w:hAnsi="Times New Roman"/>
          <w:sz w:val="32"/>
        </w:rPr>
        <w:sectPr w:rsidR="00BF0D98">
          <w:pgSz w:w="11906" w:h="16838"/>
          <w:pgMar w:top="2098" w:right="1531" w:bottom="1985" w:left="1531" w:header="851" w:footer="1417" w:gutter="0"/>
          <w:cols w:space="425"/>
          <w:docGrid w:type="lines" w:linePitch="435"/>
        </w:sectPr>
      </w:pPr>
    </w:p>
    <w:p w:rsidR="00BF0D98" w:rsidRDefault="00000000">
      <w:pPr>
        <w:spacing w:line="600" w:lineRule="exact"/>
        <w:ind w:leftChars="-177" w:left="-372" w:firstLineChars="100" w:firstLine="320"/>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表6</w:t>
      </w:r>
    </w:p>
    <w:tbl>
      <w:tblPr>
        <w:tblW w:w="9322" w:type="dxa"/>
        <w:tblLook w:val="04A0" w:firstRow="1" w:lastRow="0" w:firstColumn="1" w:lastColumn="0" w:noHBand="0" w:noVBand="1"/>
      </w:tblPr>
      <w:tblGrid>
        <w:gridCol w:w="4961"/>
        <w:gridCol w:w="4361"/>
      </w:tblGrid>
      <w:tr w:rsidR="00BF0D98">
        <w:trPr>
          <w:trHeight w:val="468"/>
        </w:trPr>
        <w:tc>
          <w:tcPr>
            <w:tcW w:w="9322" w:type="dxa"/>
            <w:gridSpan w:val="2"/>
            <w:tcBorders>
              <w:top w:val="nil"/>
              <w:left w:val="nil"/>
              <w:bottom w:val="nil"/>
              <w:right w:val="nil"/>
            </w:tcBorders>
            <w:noWrap/>
            <w:vAlign w:val="bottom"/>
          </w:tcPr>
          <w:p w:rsidR="00BF0D98" w:rsidRDefault="00000000">
            <w:pPr>
              <w:widowControl/>
              <w:adjustRightInd w:val="0"/>
              <w:snapToGrid w:val="0"/>
              <w:jc w:val="center"/>
              <w:rPr>
                <w:rFonts w:ascii="方正小标宋_GBK" w:eastAsia="方正小标宋_GBK" w:hAnsi="等线" w:cs="宋体" w:hint="eastAsia"/>
                <w:color w:val="000000"/>
                <w:kern w:val="0"/>
                <w:sz w:val="36"/>
                <w:szCs w:val="36"/>
              </w:rPr>
            </w:pPr>
            <w:bookmarkStart w:id="7" w:name="_Hlk176079958"/>
            <w:r>
              <w:rPr>
                <w:rFonts w:ascii="方正小标宋_GBK" w:eastAsia="方正小标宋_GBK" w:hAnsi="等线" w:cs="宋体" w:hint="eastAsia"/>
                <w:color w:val="000000"/>
                <w:kern w:val="0"/>
                <w:sz w:val="36"/>
                <w:szCs w:val="36"/>
              </w:rPr>
              <w:t>2024年一般公共预算转移支付</w:t>
            </w:r>
          </w:p>
          <w:p w:rsidR="00BF0D98" w:rsidRDefault="00000000">
            <w:pPr>
              <w:widowControl/>
              <w:adjustRightInd w:val="0"/>
              <w:snapToGrid w:val="0"/>
              <w:jc w:val="center"/>
              <w:rPr>
                <w:rFonts w:ascii="方正小标宋_GBK" w:eastAsia="方正小标宋_GBK" w:hAnsi="等线" w:cs="宋体" w:hint="eastAsia"/>
                <w:color w:val="000000"/>
                <w:kern w:val="0"/>
                <w:sz w:val="44"/>
                <w:szCs w:val="44"/>
              </w:rPr>
            </w:pPr>
            <w:r>
              <w:rPr>
                <w:rFonts w:ascii="方正小标宋_GBK" w:eastAsia="方正小标宋_GBK" w:hAnsi="等线" w:cs="宋体" w:hint="eastAsia"/>
                <w:color w:val="000000"/>
                <w:kern w:val="0"/>
                <w:sz w:val="36"/>
                <w:szCs w:val="36"/>
              </w:rPr>
              <w:t>分项目支出决算表</w:t>
            </w:r>
          </w:p>
        </w:tc>
      </w:tr>
      <w:tr w:rsidR="00BF0D98">
        <w:trPr>
          <w:trHeight w:val="654"/>
        </w:trPr>
        <w:tc>
          <w:tcPr>
            <w:tcW w:w="4961" w:type="dxa"/>
            <w:tcBorders>
              <w:top w:val="nil"/>
              <w:left w:val="nil"/>
              <w:bottom w:val="nil"/>
              <w:right w:val="nil"/>
            </w:tcBorders>
            <w:noWrap/>
            <w:vAlign w:val="bottom"/>
          </w:tcPr>
          <w:p w:rsidR="00BF0D98" w:rsidRDefault="00BF0D98">
            <w:pPr>
              <w:widowControl/>
              <w:jc w:val="center"/>
              <w:rPr>
                <w:rFonts w:ascii="方正小标宋_GBK" w:eastAsia="方正小标宋_GBK" w:hAnsi="等线" w:cs="宋体" w:hint="eastAsia"/>
                <w:color w:val="000000"/>
                <w:kern w:val="0"/>
                <w:sz w:val="36"/>
                <w:szCs w:val="36"/>
              </w:rPr>
            </w:pPr>
          </w:p>
        </w:tc>
        <w:tc>
          <w:tcPr>
            <w:tcW w:w="4361" w:type="dxa"/>
            <w:tcBorders>
              <w:top w:val="nil"/>
              <w:left w:val="nil"/>
              <w:bottom w:val="nil"/>
              <w:right w:val="nil"/>
            </w:tcBorders>
            <w:noWrap/>
            <w:vAlign w:val="bottom"/>
          </w:tcPr>
          <w:p w:rsidR="00BF0D98" w:rsidRDefault="00000000">
            <w:pPr>
              <w:widowControl/>
              <w:jc w:val="right"/>
              <w:rPr>
                <w:rFonts w:ascii="方正楷体_GBK" w:eastAsia="方正楷体_GBK" w:hAnsi="等线" w:cs="宋体" w:hint="eastAsia"/>
                <w:color w:val="000000"/>
                <w:kern w:val="0"/>
                <w:sz w:val="22"/>
              </w:rPr>
            </w:pPr>
            <w:r>
              <w:rPr>
                <w:rFonts w:ascii="方正楷体_GBK" w:eastAsia="方正楷体_GBK" w:hAnsi="等线" w:cs="宋体" w:hint="eastAsia"/>
                <w:color w:val="000000"/>
                <w:kern w:val="0"/>
                <w:sz w:val="22"/>
              </w:rPr>
              <w:t>单位：万元</w:t>
            </w:r>
          </w:p>
        </w:tc>
      </w:tr>
      <w:tr w:rsidR="00BF0D98">
        <w:trPr>
          <w:trHeight w:val="588"/>
        </w:trPr>
        <w:tc>
          <w:tcPr>
            <w:tcW w:w="4961"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jc w:val="center"/>
              <w:rPr>
                <w:rFonts w:ascii="方正黑体_GBK" w:eastAsia="方正黑体_GBK" w:hAnsi="等线" w:cs="宋体" w:hint="eastAsia"/>
                <w:kern w:val="0"/>
                <w:sz w:val="28"/>
                <w:szCs w:val="28"/>
              </w:rPr>
            </w:pPr>
            <w:r>
              <w:rPr>
                <w:rFonts w:ascii="方正黑体_GBK" w:eastAsia="方正黑体_GBK" w:hAnsi="等线" w:cs="宋体" w:hint="eastAsia"/>
                <w:kern w:val="0"/>
                <w:sz w:val="28"/>
                <w:szCs w:val="28"/>
              </w:rPr>
              <w:t>转移支付支出项目</w:t>
            </w:r>
          </w:p>
        </w:tc>
        <w:tc>
          <w:tcPr>
            <w:tcW w:w="4361"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方正黑体_GBK" w:eastAsia="方正黑体_GBK" w:hAnsi="等线" w:cs="宋体" w:hint="eastAsia"/>
                <w:kern w:val="0"/>
                <w:sz w:val="28"/>
                <w:szCs w:val="28"/>
              </w:rPr>
            </w:pPr>
            <w:r>
              <w:rPr>
                <w:rFonts w:ascii="方正黑体_GBK" w:eastAsia="方正黑体_GBK" w:hAnsi="等线" w:cs="宋体" w:hint="eastAsia"/>
                <w:kern w:val="0"/>
                <w:sz w:val="28"/>
                <w:szCs w:val="28"/>
              </w:rPr>
              <w:t>决算数</w:t>
            </w:r>
          </w:p>
        </w:tc>
      </w:tr>
      <w:tr w:rsidR="00BF0D98">
        <w:trPr>
          <w:trHeight w:val="636"/>
        </w:trPr>
        <w:tc>
          <w:tcPr>
            <w:tcW w:w="4961"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等线" w:eastAsia="等线" w:hAnsi="等线" w:cs="宋体" w:hint="eastAsia"/>
                <w:color w:val="000000"/>
                <w:kern w:val="0"/>
                <w:sz w:val="28"/>
                <w:szCs w:val="28"/>
              </w:rPr>
            </w:pPr>
            <w:r>
              <w:rPr>
                <w:rFonts w:ascii="等线" w:eastAsia="等线" w:hAnsi="等线" w:cs="宋体" w:hint="eastAsia"/>
                <w:color w:val="000000"/>
                <w:kern w:val="0"/>
                <w:sz w:val="28"/>
                <w:szCs w:val="28"/>
              </w:rPr>
              <w:t>-</w:t>
            </w:r>
          </w:p>
        </w:tc>
        <w:tc>
          <w:tcPr>
            <w:tcW w:w="4361" w:type="dxa"/>
            <w:tcBorders>
              <w:top w:val="nil"/>
              <w:left w:val="nil"/>
              <w:bottom w:val="single" w:sz="4" w:space="0" w:color="auto"/>
              <w:right w:val="single" w:sz="4" w:space="0" w:color="auto"/>
            </w:tcBorders>
            <w:noWrap/>
            <w:vAlign w:val="center"/>
          </w:tcPr>
          <w:p w:rsidR="00BF0D98" w:rsidRDefault="00000000">
            <w:pPr>
              <w:widowControl/>
              <w:jc w:val="center"/>
              <w:rPr>
                <w:rFonts w:ascii="等线" w:eastAsia="等线" w:hAnsi="等线" w:cs="宋体" w:hint="eastAsia"/>
                <w:color w:val="000000"/>
                <w:kern w:val="0"/>
                <w:sz w:val="28"/>
                <w:szCs w:val="28"/>
              </w:rPr>
            </w:pPr>
            <w:r>
              <w:rPr>
                <w:rFonts w:ascii="等线" w:eastAsia="等线" w:hAnsi="等线" w:cs="宋体" w:hint="eastAsia"/>
                <w:color w:val="000000"/>
                <w:kern w:val="0"/>
                <w:sz w:val="28"/>
                <w:szCs w:val="28"/>
              </w:rPr>
              <w:t>-</w:t>
            </w:r>
          </w:p>
        </w:tc>
      </w:tr>
    </w:tbl>
    <w:p w:rsidR="00BF0D98" w:rsidRDefault="00000000">
      <w:pPr>
        <w:widowControl/>
        <w:adjustRightInd w:val="0"/>
        <w:snapToGrid w:val="0"/>
        <w:jc w:val="left"/>
        <w:rPr>
          <w:rFonts w:ascii="方正楷体_GBK" w:eastAsia="方正楷体_GBK" w:hAnsi="Times New Roman"/>
          <w:sz w:val="22"/>
        </w:rPr>
      </w:pPr>
      <w:r>
        <w:rPr>
          <w:rFonts w:ascii="方正楷体_GBK" w:eastAsia="方正楷体_GBK" w:hAnsi="Times New Roman" w:hint="eastAsia"/>
          <w:sz w:val="22"/>
        </w:rPr>
        <w:t>注：按现有体制，重庆高新区对各镇街采用部门预算管理方式，无转移支付支出事项。</w:t>
      </w:r>
    </w:p>
    <w:bookmarkEnd w:id="7"/>
    <w:p w:rsidR="00BF0D98" w:rsidRDefault="00BF0D98">
      <w:pPr>
        <w:widowControl/>
        <w:jc w:val="left"/>
        <w:rPr>
          <w:rFonts w:ascii="方正小标宋_GBK" w:eastAsia="方正小标宋_GBK" w:hAnsi="Times New Roman"/>
          <w:sz w:val="44"/>
          <w:szCs w:val="44"/>
        </w:rPr>
      </w:pPr>
    </w:p>
    <w:p w:rsidR="00BF0D98" w:rsidRDefault="00BF0D98">
      <w:pPr>
        <w:widowControl/>
        <w:jc w:val="left"/>
        <w:rPr>
          <w:rFonts w:ascii="Times New Roman" w:eastAsia="方正黑体_GBK" w:hAnsi="Times New Roman"/>
          <w:sz w:val="32"/>
        </w:rPr>
      </w:pPr>
    </w:p>
    <w:p w:rsidR="00BF0D98" w:rsidRDefault="00000000">
      <w:pPr>
        <w:widowControl/>
        <w:jc w:val="left"/>
        <w:rPr>
          <w:rFonts w:ascii="Times New Roman" w:eastAsia="方正黑体_GBK" w:hAnsi="Times New Roman"/>
          <w:sz w:val="32"/>
        </w:rPr>
        <w:sectPr w:rsidR="00BF0D98">
          <w:pgSz w:w="11906" w:h="16838"/>
          <w:pgMar w:top="2098" w:right="1531" w:bottom="1985" w:left="1531" w:header="851" w:footer="1417" w:gutter="0"/>
          <w:cols w:space="425"/>
          <w:docGrid w:type="lines" w:linePitch="435"/>
        </w:sectPr>
      </w:pPr>
      <w:r>
        <w:rPr>
          <w:rFonts w:ascii="Times New Roman" w:eastAsia="方正黑体_GBK" w:hAnsi="Times New Roman"/>
          <w:sz w:val="32"/>
        </w:rPr>
        <w:br w:type="page"/>
      </w:r>
    </w:p>
    <w:p w:rsidR="00BF0D98" w:rsidRDefault="00000000" w:rsidP="009A3D02">
      <w:pPr>
        <w:widowControl/>
        <w:ind w:leftChars="-405" w:left="-850"/>
        <w:jc w:val="left"/>
        <w:rPr>
          <w:rFonts w:ascii="Times New Roman" w:eastAsia="方正黑体_GBK" w:hAnsi="Times New Roman"/>
          <w:sz w:val="32"/>
        </w:rPr>
      </w:pPr>
      <w:r>
        <w:rPr>
          <w:rFonts w:ascii="Times New Roman" w:eastAsia="方正黑体_GBK" w:hAnsi="Times New Roman"/>
          <w:sz w:val="32"/>
        </w:rPr>
        <w:lastRenderedPageBreak/>
        <w:t>表</w:t>
      </w:r>
      <w:r>
        <w:rPr>
          <w:rFonts w:ascii="Times New Roman" w:eastAsia="方正黑体_GBK" w:hAnsi="Times New Roman" w:hint="eastAsia"/>
          <w:sz w:val="32"/>
        </w:rPr>
        <w:t>7</w:t>
      </w:r>
    </w:p>
    <w:p w:rsidR="00BF0D98" w:rsidRDefault="00000000">
      <w:pPr>
        <w:widowControl/>
        <w:jc w:val="center"/>
        <w:rPr>
          <w:rFonts w:ascii="Times New Roman" w:eastAsia="方正小标宋_GBK" w:hAnsi="Times New Roman"/>
          <w:sz w:val="36"/>
          <w:szCs w:val="36"/>
        </w:rPr>
      </w:pPr>
      <w:r>
        <w:rPr>
          <w:rFonts w:ascii="Times New Roman" w:eastAsia="方正小标宋_GBK" w:hAnsi="Times New Roman"/>
          <w:sz w:val="36"/>
          <w:szCs w:val="36"/>
        </w:rPr>
        <w:t>2024</w:t>
      </w:r>
      <w:r>
        <w:rPr>
          <w:rFonts w:ascii="Times New Roman" w:eastAsia="方正小标宋_GBK" w:hAnsi="Times New Roman"/>
          <w:sz w:val="36"/>
          <w:szCs w:val="36"/>
        </w:rPr>
        <w:t>年政府性基金预算收支</w:t>
      </w:r>
      <w:r>
        <w:rPr>
          <w:rFonts w:ascii="Times New Roman" w:eastAsia="方正小标宋_GBK" w:hAnsi="Times New Roman" w:hint="eastAsia"/>
          <w:sz w:val="36"/>
          <w:szCs w:val="36"/>
        </w:rPr>
        <w:t>决算</w:t>
      </w:r>
      <w:r>
        <w:rPr>
          <w:rFonts w:ascii="Times New Roman" w:eastAsia="方正小标宋_GBK" w:hAnsi="Times New Roman"/>
          <w:sz w:val="36"/>
          <w:szCs w:val="36"/>
        </w:rPr>
        <w:t>表</w:t>
      </w:r>
    </w:p>
    <w:p w:rsidR="00BF0D98" w:rsidRDefault="00000000" w:rsidP="009A3D02">
      <w:pPr>
        <w:widowControl/>
        <w:ind w:rightChars="-473" w:right="-993"/>
        <w:jc w:val="right"/>
        <w:rPr>
          <w:rFonts w:ascii="Times New Roman" w:eastAsia="方正楷体_GBK" w:hAnsi="Times New Roman"/>
          <w:sz w:val="32"/>
        </w:rPr>
      </w:pPr>
      <w:r>
        <w:rPr>
          <w:rFonts w:ascii="Times New Roman" w:eastAsia="方正楷体_GBK" w:hAnsi="Times New Roman"/>
          <w:sz w:val="24"/>
          <w:szCs w:val="20"/>
        </w:rPr>
        <w:t>单位：万元</w:t>
      </w:r>
    </w:p>
    <w:tbl>
      <w:tblPr>
        <w:tblW w:w="14743" w:type="dxa"/>
        <w:tblInd w:w="-856" w:type="dxa"/>
        <w:tblLook w:val="04A0" w:firstRow="1" w:lastRow="0" w:firstColumn="1" w:lastColumn="0" w:noHBand="0" w:noVBand="1"/>
      </w:tblPr>
      <w:tblGrid>
        <w:gridCol w:w="1702"/>
        <w:gridCol w:w="996"/>
        <w:gridCol w:w="1176"/>
        <w:gridCol w:w="1176"/>
        <w:gridCol w:w="904"/>
        <w:gridCol w:w="756"/>
        <w:gridCol w:w="3126"/>
        <w:gridCol w:w="996"/>
        <w:gridCol w:w="1176"/>
        <w:gridCol w:w="1176"/>
        <w:gridCol w:w="803"/>
        <w:gridCol w:w="756"/>
      </w:tblGrid>
      <w:tr w:rsidR="00BF0D98">
        <w:trPr>
          <w:trHeight w:val="1296"/>
          <w:tblHeader/>
        </w:trPr>
        <w:tc>
          <w:tcPr>
            <w:tcW w:w="1702"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收</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入</w:t>
            </w:r>
          </w:p>
        </w:tc>
        <w:tc>
          <w:tcPr>
            <w:tcW w:w="996"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年初</w:t>
            </w:r>
          </w:p>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预算</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调整</w:t>
            </w:r>
            <w:r>
              <w:rPr>
                <w:rFonts w:ascii="Times New Roman" w:eastAsia="方正黑体_GBK" w:hAnsi="Times New Roman"/>
                <w:kern w:val="0"/>
                <w:sz w:val="24"/>
                <w:szCs w:val="24"/>
              </w:rPr>
              <w:br/>
            </w:r>
            <w:r>
              <w:rPr>
                <w:rFonts w:ascii="Times New Roman" w:eastAsia="方正黑体_GBK" w:hAnsi="Times New Roman"/>
                <w:kern w:val="0"/>
                <w:sz w:val="24"/>
                <w:szCs w:val="24"/>
              </w:rPr>
              <w:t>预算数</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904"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数为调整预算数</w:t>
            </w:r>
            <w:r>
              <w:rPr>
                <w:rFonts w:ascii="Times New Roman" w:eastAsia="方正黑体_GBK" w:hAnsi="Times New Roman"/>
                <w:kern w:val="0"/>
                <w:sz w:val="24"/>
                <w:szCs w:val="24"/>
              </w:rPr>
              <w:t>%</w:t>
            </w:r>
          </w:p>
        </w:tc>
        <w:tc>
          <w:tcPr>
            <w:tcW w:w="756"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数为上年年决算数的</w:t>
            </w:r>
            <w:r>
              <w:rPr>
                <w:rFonts w:ascii="Times New Roman" w:eastAsia="方正黑体_GBK" w:hAnsi="Times New Roman"/>
                <w:kern w:val="0"/>
                <w:sz w:val="24"/>
                <w:szCs w:val="24"/>
              </w:rPr>
              <w:t>%</w:t>
            </w:r>
          </w:p>
        </w:tc>
        <w:tc>
          <w:tcPr>
            <w:tcW w:w="3213"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支</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出</w:t>
            </w:r>
          </w:p>
        </w:tc>
        <w:tc>
          <w:tcPr>
            <w:tcW w:w="909"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年初</w:t>
            </w:r>
          </w:p>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预算</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调整</w:t>
            </w:r>
            <w:r>
              <w:rPr>
                <w:rFonts w:ascii="Times New Roman" w:eastAsia="方正黑体_GBK" w:hAnsi="Times New Roman"/>
                <w:kern w:val="0"/>
                <w:sz w:val="24"/>
                <w:szCs w:val="24"/>
              </w:rPr>
              <w:br/>
            </w:r>
            <w:r>
              <w:rPr>
                <w:rFonts w:ascii="Times New Roman" w:eastAsia="方正黑体_GBK" w:hAnsi="Times New Roman"/>
                <w:kern w:val="0"/>
                <w:sz w:val="24"/>
                <w:szCs w:val="24"/>
              </w:rPr>
              <w:t>预算数</w:t>
            </w:r>
          </w:p>
        </w:tc>
        <w:tc>
          <w:tcPr>
            <w:tcW w:w="1176"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803"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数为调整预算数</w:t>
            </w:r>
            <w:r>
              <w:rPr>
                <w:rFonts w:ascii="Times New Roman" w:eastAsia="方正黑体_GBK" w:hAnsi="Times New Roman"/>
                <w:kern w:val="0"/>
                <w:sz w:val="24"/>
                <w:szCs w:val="24"/>
              </w:rPr>
              <w:t>%</w:t>
            </w:r>
          </w:p>
        </w:tc>
        <w:tc>
          <w:tcPr>
            <w:tcW w:w="756" w:type="dxa"/>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数为上年年决算数的</w:t>
            </w:r>
            <w:r>
              <w:rPr>
                <w:rFonts w:ascii="Times New Roman" w:eastAsia="方正黑体_GBK" w:hAnsi="Times New Roman"/>
                <w:kern w:val="0"/>
                <w:sz w:val="24"/>
                <w:szCs w:val="24"/>
              </w:rPr>
              <w:t>%</w:t>
            </w:r>
          </w:p>
        </w:tc>
      </w:tr>
      <w:tr w:rsidR="00BF0D98">
        <w:trPr>
          <w:trHeight w:val="405"/>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proofErr w:type="gramStart"/>
            <w:r>
              <w:rPr>
                <w:rFonts w:ascii="Times New Roman" w:hAnsi="Times New Roman"/>
                <w:b/>
                <w:bCs/>
                <w:kern w:val="0"/>
                <w:sz w:val="24"/>
                <w:szCs w:val="24"/>
              </w:rPr>
              <w:t>总</w:t>
            </w:r>
            <w:r>
              <w:rPr>
                <w:rFonts w:ascii="Times New Roman" w:hAnsi="Times New Roman"/>
                <w:b/>
                <w:bCs/>
                <w:kern w:val="0"/>
                <w:sz w:val="24"/>
                <w:szCs w:val="24"/>
              </w:rPr>
              <w:t xml:space="preserve">  </w:t>
            </w:r>
            <w:r>
              <w:rPr>
                <w:rFonts w:ascii="Times New Roman" w:hAnsi="Times New Roman"/>
                <w:b/>
                <w:bCs/>
                <w:kern w:val="0"/>
                <w:sz w:val="24"/>
                <w:szCs w:val="24"/>
              </w:rPr>
              <w:t>计</w:t>
            </w:r>
            <w:proofErr w:type="gramEnd"/>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891,441</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2,027,282</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2,349,522</w:t>
            </w:r>
          </w:p>
        </w:tc>
        <w:tc>
          <w:tcPr>
            <w:tcW w:w="90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115.9</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99.5</w:t>
            </w:r>
          </w:p>
        </w:tc>
        <w:tc>
          <w:tcPr>
            <w:tcW w:w="3213" w:type="dxa"/>
            <w:tcBorders>
              <w:top w:val="nil"/>
              <w:left w:val="nil"/>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proofErr w:type="gramStart"/>
            <w:r>
              <w:rPr>
                <w:rFonts w:ascii="Times New Roman" w:hAnsi="Times New Roman"/>
                <w:b/>
                <w:bCs/>
                <w:kern w:val="0"/>
                <w:sz w:val="24"/>
                <w:szCs w:val="24"/>
              </w:rPr>
              <w:t>总</w:t>
            </w:r>
            <w:r>
              <w:rPr>
                <w:rFonts w:ascii="Times New Roman" w:hAnsi="Times New Roman"/>
                <w:b/>
                <w:bCs/>
                <w:kern w:val="0"/>
                <w:sz w:val="24"/>
                <w:szCs w:val="24"/>
              </w:rPr>
              <w:t xml:space="preserve">  </w:t>
            </w:r>
            <w:r>
              <w:rPr>
                <w:rFonts w:ascii="Times New Roman" w:hAnsi="Times New Roman"/>
                <w:b/>
                <w:bCs/>
                <w:kern w:val="0"/>
                <w:sz w:val="24"/>
                <w:szCs w:val="24"/>
              </w:rPr>
              <w:t>计</w:t>
            </w:r>
            <w:proofErr w:type="gramEnd"/>
          </w:p>
        </w:tc>
        <w:tc>
          <w:tcPr>
            <w:tcW w:w="909"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891,441</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2,027,282</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2,349,522</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115.9</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99.5</w:t>
            </w:r>
          </w:p>
        </w:tc>
      </w:tr>
      <w:tr w:rsidR="00BF0D98">
        <w:trPr>
          <w:trHeight w:val="312"/>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本级收入合计</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272</w:t>
            </w: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本级支出合计</w:t>
            </w:r>
          </w:p>
        </w:tc>
        <w:tc>
          <w:tcPr>
            <w:tcW w:w="909"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560,338</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1,451,179</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1,552,821</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107.0</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75.1</w:t>
            </w:r>
          </w:p>
        </w:tc>
      </w:tr>
      <w:tr w:rsidR="00BF0D98">
        <w:trPr>
          <w:trHeight w:val="690"/>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一、文化旅游体育与传媒</w:t>
            </w:r>
          </w:p>
        </w:tc>
        <w:tc>
          <w:tcPr>
            <w:tcW w:w="909" w:type="dxa"/>
            <w:tcBorders>
              <w:top w:val="nil"/>
              <w:left w:val="nil"/>
              <w:bottom w:val="single" w:sz="4" w:space="0" w:color="auto"/>
              <w:right w:val="single" w:sz="4" w:space="0" w:color="auto"/>
            </w:tcBorders>
            <w:shd w:val="clear" w:color="000000" w:fill="FFFFFF"/>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vAlign w:val="center"/>
          </w:tcPr>
          <w:p w:rsidR="00BF0D98" w:rsidRDefault="00BF0D98">
            <w:pPr>
              <w:widowControl/>
              <w:jc w:val="right"/>
              <w:rPr>
                <w:rFonts w:ascii="Times New Roman" w:eastAsia="等线" w:hAnsi="Times New Roman"/>
                <w:color w:val="000000"/>
                <w:kern w:val="0"/>
                <w:sz w:val="24"/>
                <w:szCs w:val="24"/>
              </w:rPr>
            </w:pPr>
          </w:p>
        </w:tc>
        <w:tc>
          <w:tcPr>
            <w:tcW w:w="803"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b/>
                <w:bCs/>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r>
      <w:tr w:rsidR="00BF0D98">
        <w:trPr>
          <w:trHeight w:val="690"/>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二、社会保障和就业支出</w:t>
            </w:r>
          </w:p>
        </w:tc>
        <w:tc>
          <w:tcPr>
            <w:tcW w:w="909" w:type="dxa"/>
            <w:tcBorders>
              <w:top w:val="nil"/>
              <w:left w:val="nil"/>
              <w:bottom w:val="single" w:sz="4" w:space="0" w:color="auto"/>
              <w:right w:val="single" w:sz="4" w:space="0" w:color="auto"/>
            </w:tcBorders>
            <w:shd w:val="clear" w:color="000000" w:fill="FFFFFF"/>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shd w:val="clear" w:color="000000" w:fill="FFFFFF"/>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shd w:val="clear" w:color="000000" w:fill="FFFFFF"/>
            <w:vAlign w:val="center"/>
          </w:tcPr>
          <w:p w:rsidR="00BF0D98" w:rsidRDefault="00BF0D98">
            <w:pPr>
              <w:widowControl/>
              <w:jc w:val="right"/>
              <w:rPr>
                <w:rFonts w:ascii="Times New Roman" w:eastAsia="等线" w:hAnsi="Times New Roman"/>
                <w:color w:val="000000"/>
                <w:kern w:val="0"/>
                <w:sz w:val="24"/>
                <w:szCs w:val="24"/>
              </w:rPr>
            </w:pPr>
          </w:p>
        </w:tc>
        <w:tc>
          <w:tcPr>
            <w:tcW w:w="803"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b/>
                <w:bCs/>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三、城乡社区支出</w:t>
            </w:r>
          </w:p>
        </w:tc>
        <w:tc>
          <w:tcPr>
            <w:tcW w:w="909"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385,683</w:t>
            </w:r>
          </w:p>
        </w:tc>
        <w:tc>
          <w:tcPr>
            <w:tcW w:w="1176"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344,810</w:t>
            </w:r>
          </w:p>
        </w:tc>
        <w:tc>
          <w:tcPr>
            <w:tcW w:w="1176"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453,018</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131.4</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70.8</w:t>
            </w: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四、农林水支出</w:t>
            </w:r>
          </w:p>
        </w:tc>
        <w:tc>
          <w:tcPr>
            <w:tcW w:w="909"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88</w:t>
            </w:r>
          </w:p>
        </w:tc>
        <w:tc>
          <w:tcPr>
            <w:tcW w:w="1176"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87</w:t>
            </w:r>
          </w:p>
        </w:tc>
        <w:tc>
          <w:tcPr>
            <w:tcW w:w="1176"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37</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42.5</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30.6</w:t>
            </w: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lastRenderedPageBreak/>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五、其他支出</w:t>
            </w:r>
          </w:p>
        </w:tc>
        <w:tc>
          <w:tcPr>
            <w:tcW w:w="909"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4,567</w:t>
            </w:r>
          </w:p>
        </w:tc>
        <w:tc>
          <w:tcPr>
            <w:tcW w:w="1176"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936,282</w:t>
            </w:r>
          </w:p>
        </w:tc>
        <w:tc>
          <w:tcPr>
            <w:tcW w:w="1176"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934,443</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99.8</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71.8</w:t>
            </w: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六、债务付息支出</w:t>
            </w:r>
          </w:p>
        </w:tc>
        <w:tc>
          <w:tcPr>
            <w:tcW w:w="909"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170,000</w:t>
            </w:r>
          </w:p>
        </w:tc>
        <w:tc>
          <w:tcPr>
            <w:tcW w:w="1176" w:type="dxa"/>
            <w:tcBorders>
              <w:top w:val="nil"/>
              <w:left w:val="nil"/>
              <w:bottom w:val="single" w:sz="4" w:space="0" w:color="auto"/>
              <w:right w:val="single" w:sz="4" w:space="0" w:color="auto"/>
            </w:tcBorders>
            <w:shd w:val="clear" w:color="000000" w:fill="FFFFFF"/>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170,000</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165,306</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97.2</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131.4</w:t>
            </w: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七、债务发行费用支出</w:t>
            </w:r>
          </w:p>
        </w:tc>
        <w:tc>
          <w:tcPr>
            <w:tcW w:w="909" w:type="dxa"/>
            <w:tcBorders>
              <w:top w:val="nil"/>
              <w:left w:val="nil"/>
              <w:bottom w:val="single" w:sz="4" w:space="0" w:color="auto"/>
              <w:right w:val="single" w:sz="4" w:space="0" w:color="auto"/>
            </w:tcBorders>
            <w:shd w:val="clear" w:color="000000" w:fill="FFFFFF"/>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shd w:val="clear" w:color="000000" w:fill="FFFFFF"/>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17</w:t>
            </w:r>
          </w:p>
        </w:tc>
        <w:tc>
          <w:tcPr>
            <w:tcW w:w="803"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b/>
                <w:bCs/>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188.9</w:t>
            </w:r>
          </w:p>
        </w:tc>
      </w:tr>
      <w:tr w:rsidR="00BF0D98">
        <w:trPr>
          <w:trHeight w:val="450"/>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转移性收入合计</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891,441</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2,027,282</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2,349,250</w:t>
            </w:r>
          </w:p>
        </w:tc>
        <w:tc>
          <w:tcPr>
            <w:tcW w:w="90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115.9</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99.5</w:t>
            </w: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转移性支出合计</w:t>
            </w:r>
          </w:p>
        </w:tc>
        <w:tc>
          <w:tcPr>
            <w:tcW w:w="909"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331,103</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576,103</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796,701</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138.3</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271.9</w:t>
            </w: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一、上级补助收入</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882,410</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921,951</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1,064,319</w:t>
            </w:r>
          </w:p>
        </w:tc>
        <w:tc>
          <w:tcPr>
            <w:tcW w:w="90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115.4</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125.1</w:t>
            </w: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一、上解上级支出</w:t>
            </w:r>
          </w:p>
        </w:tc>
        <w:tc>
          <w:tcPr>
            <w:tcW w:w="909"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1,080</w:t>
            </w:r>
          </w:p>
        </w:tc>
        <w:tc>
          <w:tcPr>
            <w:tcW w:w="803"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b/>
                <w:bCs/>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70.4</w:t>
            </w: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二、债务转贷收入</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1,096,300</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1,275,900</w:t>
            </w:r>
          </w:p>
        </w:tc>
        <w:tc>
          <w:tcPr>
            <w:tcW w:w="90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116.4</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94.5</w:t>
            </w: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二、调出资金</w:t>
            </w:r>
          </w:p>
        </w:tc>
        <w:tc>
          <w:tcPr>
            <w:tcW w:w="909"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331,103</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401,103</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402,401</w:t>
            </w:r>
          </w:p>
        </w:tc>
        <w:tc>
          <w:tcPr>
            <w:tcW w:w="803"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100.3</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173.1</w:t>
            </w:r>
          </w:p>
        </w:tc>
      </w:tr>
      <w:tr w:rsidR="00BF0D98">
        <w:trPr>
          <w:trHeight w:val="558"/>
        </w:trPr>
        <w:tc>
          <w:tcPr>
            <w:tcW w:w="1702"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三、上年结转</w:t>
            </w:r>
            <w:r>
              <w:rPr>
                <w:rFonts w:ascii="Times New Roman" w:hAnsi="Times New Roman"/>
                <w:color w:val="000000"/>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9,031</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9,031</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9,031</w:t>
            </w:r>
          </w:p>
        </w:tc>
        <w:tc>
          <w:tcPr>
            <w:tcW w:w="90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100.0</w:t>
            </w: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5.7</w:t>
            </w: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三、债务还本支出</w:t>
            </w:r>
          </w:p>
        </w:tc>
        <w:tc>
          <w:tcPr>
            <w:tcW w:w="909"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175,000</w:t>
            </w: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354,600</w:t>
            </w:r>
          </w:p>
        </w:tc>
        <w:tc>
          <w:tcPr>
            <w:tcW w:w="803"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b/>
                <w:bCs/>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r>
      <w:tr w:rsidR="00BF0D98">
        <w:trPr>
          <w:trHeight w:val="558"/>
        </w:trPr>
        <w:tc>
          <w:tcPr>
            <w:tcW w:w="1702"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90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b/>
                <w:bCs/>
                <w:kern w:val="0"/>
                <w:sz w:val="24"/>
                <w:szCs w:val="24"/>
              </w:rPr>
            </w:pPr>
          </w:p>
        </w:tc>
        <w:tc>
          <w:tcPr>
            <w:tcW w:w="3213" w:type="dxa"/>
            <w:tcBorders>
              <w:top w:val="nil"/>
              <w:left w:val="nil"/>
              <w:bottom w:val="single" w:sz="4" w:space="0" w:color="auto"/>
              <w:right w:val="single" w:sz="4" w:space="0" w:color="auto"/>
            </w:tcBorders>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四、结转下年</w:t>
            </w:r>
          </w:p>
        </w:tc>
        <w:tc>
          <w:tcPr>
            <w:tcW w:w="909"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c>
          <w:tcPr>
            <w:tcW w:w="11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38,620</w:t>
            </w:r>
          </w:p>
        </w:tc>
        <w:tc>
          <w:tcPr>
            <w:tcW w:w="803"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b/>
                <w:bCs/>
                <w:kern w:val="0"/>
                <w:sz w:val="24"/>
                <w:szCs w:val="24"/>
              </w:rPr>
            </w:pPr>
          </w:p>
        </w:tc>
        <w:tc>
          <w:tcPr>
            <w:tcW w:w="75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b/>
                <w:bCs/>
                <w:kern w:val="0"/>
                <w:sz w:val="24"/>
                <w:szCs w:val="24"/>
              </w:rPr>
            </w:pPr>
            <w:r>
              <w:rPr>
                <w:rFonts w:ascii="Times New Roman" w:eastAsia="等线" w:hAnsi="Times New Roman"/>
                <w:b/>
                <w:bCs/>
                <w:kern w:val="0"/>
                <w:sz w:val="24"/>
                <w:szCs w:val="24"/>
              </w:rPr>
              <w:t>427.6</w:t>
            </w:r>
          </w:p>
        </w:tc>
      </w:tr>
    </w:tbl>
    <w:p w:rsidR="00BF0D98" w:rsidRDefault="00000000">
      <w:pPr>
        <w:widowControl/>
        <w:jc w:val="left"/>
        <w:rPr>
          <w:rFonts w:ascii="Times New Roman" w:eastAsia="方正小标宋_GBK" w:hAnsi="Times New Roman"/>
          <w:sz w:val="32"/>
        </w:rPr>
        <w:sectPr w:rsidR="00BF0D98">
          <w:pgSz w:w="16838" w:h="11906" w:orient="landscape"/>
          <w:pgMar w:top="1531" w:right="2098" w:bottom="1531" w:left="1985" w:header="851" w:footer="1417" w:gutter="0"/>
          <w:cols w:space="425"/>
          <w:docGrid w:type="lines" w:linePitch="435"/>
        </w:sectPr>
      </w:pPr>
      <w:r>
        <w:rPr>
          <w:rFonts w:ascii="Times New Roman" w:eastAsia="方正小标宋_GBK" w:hAnsi="Times New Roman"/>
          <w:sz w:val="32"/>
        </w:rPr>
        <w:br w:type="page"/>
      </w:r>
    </w:p>
    <w:p w:rsidR="00BF0D98" w:rsidRDefault="00000000">
      <w:pPr>
        <w:widowControl/>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表8</w:t>
      </w:r>
    </w:p>
    <w:p w:rsidR="00BF0D98" w:rsidRDefault="00000000">
      <w:pPr>
        <w:adjustRightInd w:val="0"/>
        <w:snapToGrid w:val="0"/>
        <w:spacing w:line="600" w:lineRule="exact"/>
        <w:jc w:val="center"/>
        <w:rPr>
          <w:rFonts w:ascii="方正小标宋_GBK" w:eastAsia="方正小标宋_GBK" w:hAnsi="Times New Roman"/>
          <w:sz w:val="36"/>
          <w:szCs w:val="36"/>
        </w:rPr>
      </w:pPr>
      <w:r>
        <w:rPr>
          <w:rFonts w:ascii="方正小标宋_GBK" w:eastAsia="方正小标宋_GBK" w:hAnsi="Times New Roman" w:hint="eastAsia"/>
          <w:sz w:val="36"/>
          <w:szCs w:val="36"/>
        </w:rPr>
        <w:t>政府性基金预算收入决算表</w:t>
      </w:r>
    </w:p>
    <w:p w:rsidR="00BF0D98" w:rsidRDefault="00000000">
      <w:pPr>
        <w:adjustRightInd w:val="0"/>
        <w:snapToGrid w:val="0"/>
        <w:spacing w:line="600" w:lineRule="exact"/>
        <w:jc w:val="right"/>
        <w:rPr>
          <w:rFonts w:ascii="方正楷体_GBK" w:eastAsia="方正楷体_GBK" w:hAnsi="Times New Roman"/>
          <w:sz w:val="24"/>
          <w:szCs w:val="24"/>
        </w:rPr>
      </w:pPr>
      <w:r>
        <w:rPr>
          <w:rFonts w:ascii="方正楷体_GBK" w:eastAsia="方正楷体_GBK" w:hAnsi="Times New Roman" w:hint="eastAsia"/>
          <w:sz w:val="24"/>
          <w:szCs w:val="24"/>
        </w:rPr>
        <w:t>单位：万元</w:t>
      </w:r>
    </w:p>
    <w:tbl>
      <w:tblPr>
        <w:tblW w:w="8926" w:type="dxa"/>
        <w:tblLook w:val="04A0" w:firstRow="1" w:lastRow="0" w:firstColumn="1" w:lastColumn="0" w:noHBand="0" w:noVBand="1"/>
      </w:tblPr>
      <w:tblGrid>
        <w:gridCol w:w="7225"/>
        <w:gridCol w:w="1701"/>
      </w:tblGrid>
      <w:tr w:rsidR="00BF0D98">
        <w:trPr>
          <w:trHeight w:val="276"/>
          <w:tblHeader/>
        </w:trPr>
        <w:tc>
          <w:tcPr>
            <w:tcW w:w="7225"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预算科目</w:t>
            </w:r>
          </w:p>
        </w:tc>
        <w:tc>
          <w:tcPr>
            <w:tcW w:w="1701"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w:t>
            </w: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宋体" w:hAnsi="宋体" w:cs="宋体" w:hint="eastAsia"/>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272</w:t>
            </w: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政府性基金收入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农业土地开发资金收入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国有土地使用权出让收入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土地出让价款收入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补缴的土地价款</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划拨土地收入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缴纳新增建设用地土地有偿使用费</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其他土地出让收入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大中型水库库区基金收入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地方大中型水库库区基金收入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彩票公益金收入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福利彩票公益金收入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体育彩票公益金收入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城市基础设施配套费收入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小型水库移民扶助基金收入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国家重大水利工程建设基金收入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地方重大水利工程建设资金</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车辆通行费</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污水处理费收入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彩票发行机构和彩票销售机构的业务费用</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福利彩票销售机构的业务费用</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体育彩票销售机构的业务费用</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彩票兑奖周转金</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彩票发行销售风险基金</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彩票市场调控资金收入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其他政府性基金收入</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专项债务对应项目专项收入</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272</w:t>
            </w: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海南省高等级公路车辆通行附加费专项债务对应项目专项收入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国家电影事业发展专项资金专项债务对应项目专项收入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国有土地使用权出让金专项债务对应项目专项收入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土地储备专项债券对应项目专项收入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棚户区改造专项债券对应项目专项收入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其他国有土地使用权出让金专项债务对应项目专项收入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农业土地开发资金专项债务对应项目专项收入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大中型水库库区基金专项债务对应项目专项收入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城市基础设施配套费专项债务对应项目专项收入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小型水库移民扶助基金专项债务对应项目专项收入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国家重大水利工程建设基金专项债务对应项目专项收入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车辆通行费专项债务对应项目专项收入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政府收费公路专项债券对应项目专项收入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其他车辆通行费专项债务对应项目专项收入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污水处理费专项债务对应项目专项收入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其他政府性基金专项债务对应项目专项收入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272</w:t>
            </w: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其他地方自行试点项目收益专项债券对应项目专项收入  </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272</w:t>
            </w:r>
          </w:p>
        </w:tc>
      </w:tr>
      <w:tr w:rsidR="00BF0D98">
        <w:trPr>
          <w:trHeight w:val="276"/>
        </w:trPr>
        <w:tc>
          <w:tcPr>
            <w:tcW w:w="7225"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其他政府性基金专项债务对应项目专项收入  </w:t>
            </w:r>
          </w:p>
        </w:tc>
        <w:tc>
          <w:tcPr>
            <w:tcW w:w="1701" w:type="dxa"/>
            <w:tcBorders>
              <w:top w:val="nil"/>
              <w:left w:val="nil"/>
              <w:bottom w:val="single" w:sz="4" w:space="0" w:color="auto"/>
              <w:right w:val="single" w:sz="4" w:space="0" w:color="auto"/>
            </w:tcBorders>
            <w:noWrap/>
            <w:vAlign w:val="center"/>
          </w:tcPr>
          <w:p w:rsidR="00BF0D98" w:rsidRDefault="00BF0D98">
            <w:pPr>
              <w:widowControl/>
              <w:jc w:val="right"/>
              <w:rPr>
                <w:rFonts w:ascii="宋体" w:hAnsi="宋体" w:cs="宋体" w:hint="eastAsia"/>
                <w:kern w:val="0"/>
                <w:sz w:val="24"/>
                <w:szCs w:val="24"/>
              </w:rPr>
            </w:pPr>
          </w:p>
        </w:tc>
      </w:tr>
    </w:tbl>
    <w:p w:rsidR="00BF0D98" w:rsidRDefault="00BF0D98">
      <w:pPr>
        <w:adjustRightInd w:val="0"/>
        <w:snapToGrid w:val="0"/>
        <w:spacing w:line="600" w:lineRule="exact"/>
        <w:jc w:val="left"/>
        <w:rPr>
          <w:rFonts w:ascii="方正楷体_GBK" w:eastAsia="方正楷体_GBK" w:hAnsi="Times New Roman"/>
          <w:sz w:val="24"/>
          <w:szCs w:val="24"/>
        </w:rPr>
      </w:pPr>
    </w:p>
    <w:p w:rsidR="00BF0D98" w:rsidRDefault="00000000">
      <w:pPr>
        <w:widowControl/>
        <w:jc w:val="left"/>
        <w:rPr>
          <w:rFonts w:ascii="Times New Roman" w:eastAsia="方正小标宋_GBK" w:hAnsi="Times New Roman"/>
          <w:sz w:val="32"/>
        </w:rPr>
      </w:pPr>
      <w:r>
        <w:rPr>
          <w:rFonts w:ascii="Times New Roman" w:eastAsia="方正小标宋_GBK" w:hAnsi="Times New Roman"/>
          <w:sz w:val="32"/>
        </w:rPr>
        <w:br w:type="page"/>
      </w:r>
    </w:p>
    <w:p w:rsidR="00BF0D98" w:rsidRDefault="00000000">
      <w:pPr>
        <w:widowControl/>
        <w:jc w:val="center"/>
        <w:rPr>
          <w:rFonts w:ascii="方正小标宋_GBK" w:eastAsia="方正小标宋_GBK" w:hAnsi="Times New Roman"/>
          <w:sz w:val="32"/>
          <w:szCs w:val="32"/>
        </w:rPr>
      </w:pPr>
      <w:r>
        <w:rPr>
          <w:rFonts w:ascii="方正小标宋_GBK" w:eastAsia="方正小标宋_GBK" w:hAnsi="Times New Roman" w:hint="eastAsia"/>
          <w:sz w:val="44"/>
          <w:szCs w:val="44"/>
        </w:rPr>
        <w:lastRenderedPageBreak/>
        <w:t>关于2024年政府性基金预算收支决算的说明</w:t>
      </w:r>
    </w:p>
    <w:p w:rsidR="00BF0D98" w:rsidRDefault="00BF0D98">
      <w:pPr>
        <w:widowControl/>
        <w:jc w:val="left"/>
        <w:rPr>
          <w:rFonts w:ascii="方正黑体_GBK" w:eastAsia="方正黑体_GBK" w:hAnsi="Times New Roman"/>
          <w:sz w:val="32"/>
          <w:szCs w:val="32"/>
        </w:rPr>
      </w:pP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政府性基金预算是对依照法律、行政法规的规定在一定期限内向特定对象征收、收取或者以其他方式筹集的资金，专项用于特定公共事业发展的收支预算。</w:t>
      </w:r>
    </w:p>
    <w:p w:rsidR="00BF0D98" w:rsidRDefault="00000000">
      <w:pPr>
        <w:spacing w:line="600" w:lineRule="exact"/>
        <w:ind w:firstLineChars="200" w:firstLine="640"/>
        <w:rPr>
          <w:rFonts w:ascii="方正黑体_GBK" w:eastAsia="方正黑体_GBK" w:hAnsi="Times New Roman"/>
          <w:sz w:val="32"/>
        </w:rPr>
      </w:pPr>
      <w:r>
        <w:rPr>
          <w:rFonts w:ascii="方正黑体_GBK" w:eastAsia="方正黑体_GBK" w:hAnsi="Times New Roman" w:hint="eastAsia"/>
          <w:sz w:val="32"/>
        </w:rPr>
        <w:t>一、政府性基金预算收入</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年本级政府性基金预算收入年初预算数为</w:t>
      </w:r>
      <w:r>
        <w:rPr>
          <w:rFonts w:ascii="Times New Roman" w:eastAsia="方正仿宋_GBK" w:hAnsi="Times New Roman" w:hint="eastAsia"/>
          <w:sz w:val="32"/>
        </w:rPr>
        <w:t>0</w:t>
      </w:r>
      <w:r>
        <w:rPr>
          <w:rFonts w:ascii="Times New Roman" w:eastAsia="方正仿宋_GBK" w:hAnsi="Times New Roman" w:hint="eastAsia"/>
          <w:sz w:val="32"/>
        </w:rPr>
        <w:t>万元，调整预算数为</w:t>
      </w:r>
      <w:r>
        <w:rPr>
          <w:rFonts w:ascii="Times New Roman" w:eastAsia="方正仿宋_GBK" w:hAnsi="Times New Roman" w:hint="eastAsia"/>
          <w:sz w:val="32"/>
        </w:rPr>
        <w:t>0</w:t>
      </w:r>
      <w:r>
        <w:rPr>
          <w:rFonts w:ascii="Times New Roman" w:eastAsia="方正仿宋_GBK" w:hAnsi="Times New Roman" w:hint="eastAsia"/>
          <w:sz w:val="32"/>
        </w:rPr>
        <w:t>万元，执行数为</w:t>
      </w:r>
      <w:r>
        <w:rPr>
          <w:rFonts w:ascii="Times New Roman" w:eastAsia="方正仿宋_GBK" w:hAnsi="Times New Roman" w:hint="eastAsia"/>
          <w:sz w:val="32"/>
        </w:rPr>
        <w:t>272</w:t>
      </w:r>
      <w:r>
        <w:rPr>
          <w:rFonts w:ascii="Times New Roman" w:eastAsia="方正仿宋_GBK" w:hAnsi="Times New Roman" w:hint="eastAsia"/>
          <w:sz w:val="32"/>
        </w:rPr>
        <w:t>万元，决算数为</w:t>
      </w:r>
      <w:r>
        <w:rPr>
          <w:rFonts w:ascii="Times New Roman" w:eastAsia="方正仿宋_GBK" w:hAnsi="Times New Roman" w:hint="eastAsia"/>
          <w:sz w:val="32"/>
        </w:rPr>
        <w:t>272</w:t>
      </w:r>
      <w:r>
        <w:rPr>
          <w:rFonts w:ascii="Times New Roman" w:eastAsia="方正仿宋_GBK" w:hAnsi="Times New Roman" w:hint="eastAsia"/>
          <w:sz w:val="32"/>
        </w:rPr>
        <w:t>万元，上年决算数为</w:t>
      </w:r>
      <w:r>
        <w:rPr>
          <w:rFonts w:ascii="Times New Roman" w:eastAsia="方正仿宋_GBK" w:hAnsi="Times New Roman" w:hint="eastAsia"/>
          <w:sz w:val="32"/>
        </w:rPr>
        <w:t>0</w:t>
      </w:r>
      <w:r>
        <w:rPr>
          <w:rFonts w:ascii="Times New Roman" w:eastAsia="方正仿宋_GBK" w:hAnsi="Times New Roman" w:hint="eastAsia"/>
          <w:sz w:val="32"/>
        </w:rPr>
        <w:t>万元。</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政府性基金预算本级收入加上上级补助、地方政府债务转贷收入和上年结转，收入总计</w:t>
      </w:r>
      <w:r>
        <w:rPr>
          <w:rFonts w:ascii="Times New Roman" w:eastAsia="方正仿宋_GBK" w:hAnsi="Times New Roman"/>
          <w:sz w:val="32"/>
        </w:rPr>
        <w:t>2,349,522</w:t>
      </w:r>
      <w:r>
        <w:rPr>
          <w:rFonts w:ascii="Times New Roman" w:eastAsia="方正仿宋_GBK" w:hAnsi="Times New Roman" w:hint="eastAsia"/>
          <w:sz w:val="32"/>
        </w:rPr>
        <w:t>万元。</w:t>
      </w:r>
    </w:p>
    <w:p w:rsidR="00BF0D98" w:rsidRDefault="00000000">
      <w:pPr>
        <w:spacing w:line="600" w:lineRule="exact"/>
        <w:ind w:firstLineChars="200" w:firstLine="640"/>
        <w:rPr>
          <w:rFonts w:ascii="Times New Roman" w:eastAsia="方正仿宋_GBK" w:hAnsi="Times New Roman"/>
          <w:sz w:val="32"/>
        </w:rPr>
      </w:pPr>
      <w:r>
        <w:rPr>
          <w:rFonts w:ascii="方正黑体_GBK" w:eastAsia="方正黑体_GBK" w:hAnsi="Times New Roman" w:hint="eastAsia"/>
          <w:sz w:val="32"/>
        </w:rPr>
        <w:t>二、政府性基金预算支出</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2024</w:t>
      </w:r>
      <w:r>
        <w:rPr>
          <w:rFonts w:ascii="Times New Roman" w:eastAsia="方正仿宋_GBK" w:hAnsi="Times New Roman" w:hint="eastAsia"/>
          <w:sz w:val="32"/>
        </w:rPr>
        <w:t>年本级政府性基金预算支出年初预算数为</w:t>
      </w:r>
      <w:r>
        <w:rPr>
          <w:rFonts w:ascii="Times New Roman" w:eastAsia="方正仿宋_GBK" w:hAnsi="Times New Roman"/>
          <w:sz w:val="32"/>
        </w:rPr>
        <w:t>560,338</w:t>
      </w:r>
      <w:r>
        <w:rPr>
          <w:rFonts w:ascii="Times New Roman" w:eastAsia="方正仿宋_GBK" w:hAnsi="Times New Roman" w:hint="eastAsia"/>
          <w:sz w:val="32"/>
        </w:rPr>
        <w:t>万元，调整预算数为</w:t>
      </w:r>
      <w:r>
        <w:rPr>
          <w:rFonts w:ascii="Times New Roman" w:eastAsia="方正仿宋_GBK" w:hAnsi="Times New Roman"/>
          <w:sz w:val="32"/>
        </w:rPr>
        <w:t>1,451,179</w:t>
      </w:r>
      <w:r>
        <w:rPr>
          <w:rFonts w:ascii="Times New Roman" w:eastAsia="方正仿宋_GBK" w:hAnsi="Times New Roman" w:hint="eastAsia"/>
          <w:sz w:val="32"/>
        </w:rPr>
        <w:t>万元，执行数为</w:t>
      </w:r>
      <w:r>
        <w:rPr>
          <w:rFonts w:ascii="Times New Roman" w:eastAsia="方正仿宋_GBK" w:hAnsi="Times New Roman"/>
          <w:sz w:val="32"/>
        </w:rPr>
        <w:t>1,552,821</w:t>
      </w:r>
      <w:r>
        <w:rPr>
          <w:rFonts w:ascii="Times New Roman" w:eastAsia="方正仿宋_GBK" w:hAnsi="Times New Roman" w:hint="eastAsia"/>
          <w:sz w:val="32"/>
        </w:rPr>
        <w:t>万元，决算数为</w:t>
      </w:r>
      <w:r>
        <w:rPr>
          <w:rFonts w:ascii="Times New Roman" w:eastAsia="方正仿宋_GBK" w:hAnsi="Times New Roman"/>
          <w:sz w:val="32"/>
        </w:rPr>
        <w:t>1,552,821</w:t>
      </w:r>
      <w:r>
        <w:rPr>
          <w:rFonts w:ascii="Times New Roman" w:eastAsia="方正仿宋_GBK" w:hAnsi="Times New Roman" w:hint="eastAsia"/>
          <w:sz w:val="32"/>
        </w:rPr>
        <w:t>万元，为上年决算数的</w:t>
      </w:r>
      <w:r>
        <w:rPr>
          <w:rFonts w:ascii="Times New Roman" w:eastAsia="方正仿宋_GBK" w:hAnsi="Times New Roman" w:hint="eastAsia"/>
          <w:sz w:val="32"/>
        </w:rPr>
        <w:t>75.1%</w:t>
      </w:r>
      <w:r>
        <w:rPr>
          <w:rFonts w:ascii="Times New Roman" w:eastAsia="方正仿宋_GBK" w:hAnsi="Times New Roman" w:hint="eastAsia"/>
          <w:sz w:val="32"/>
        </w:rPr>
        <w:t>。</w:t>
      </w:r>
    </w:p>
    <w:p w:rsidR="00BF0D98" w:rsidRDefault="00000000">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政府性基金预算本级支出加上上级补助、地方政府债务转贷收入、债务还本支出和结转下年，支出总计</w:t>
      </w:r>
      <w:r>
        <w:rPr>
          <w:rFonts w:ascii="Times New Roman" w:eastAsia="方正仿宋_GBK" w:hAnsi="Times New Roman"/>
          <w:sz w:val="32"/>
        </w:rPr>
        <w:t>2,349,522</w:t>
      </w:r>
      <w:r>
        <w:rPr>
          <w:rFonts w:ascii="Times New Roman" w:eastAsia="方正仿宋_GBK" w:hAnsi="Times New Roman" w:hint="eastAsia"/>
          <w:sz w:val="32"/>
        </w:rPr>
        <w:t>万元。</w:t>
      </w:r>
    </w:p>
    <w:p w:rsidR="00BF0D98" w:rsidRDefault="00000000">
      <w:pPr>
        <w:widowControl/>
        <w:jc w:val="left"/>
        <w:rPr>
          <w:rFonts w:ascii="Times New Roman" w:eastAsia="方正小标宋_GBK" w:hAnsi="Times New Roman"/>
          <w:sz w:val="32"/>
        </w:rPr>
      </w:pPr>
      <w:r>
        <w:rPr>
          <w:rFonts w:ascii="Times New Roman" w:eastAsia="方正小标宋_GBK" w:hAnsi="Times New Roman"/>
          <w:sz w:val="32"/>
        </w:rPr>
        <w:br w:type="page"/>
      </w:r>
    </w:p>
    <w:p w:rsidR="00BF0D98" w:rsidRDefault="00000000" w:rsidP="009A3D02">
      <w:pPr>
        <w:widowControl/>
        <w:ind w:leftChars="67" w:left="141"/>
        <w:jc w:val="left"/>
        <w:rPr>
          <w:rFonts w:ascii="Times New Roman" w:eastAsia="方正小标宋_GBK" w:hAnsi="Times New Roman"/>
          <w:sz w:val="32"/>
        </w:rPr>
      </w:pPr>
      <w:r>
        <w:rPr>
          <w:rFonts w:ascii="Times New Roman" w:eastAsia="方正小标宋_GBK" w:hAnsi="Times New Roman"/>
          <w:sz w:val="32"/>
        </w:rPr>
        <w:lastRenderedPageBreak/>
        <w:t>表</w:t>
      </w:r>
      <w:r>
        <w:rPr>
          <w:rFonts w:ascii="Times New Roman" w:eastAsia="方正小标宋_GBK" w:hAnsi="Times New Roman" w:hint="eastAsia"/>
          <w:sz w:val="32"/>
        </w:rPr>
        <w:t>9</w:t>
      </w:r>
    </w:p>
    <w:p w:rsidR="00BF0D98" w:rsidRDefault="00000000">
      <w:pPr>
        <w:widowControl/>
        <w:adjustRightInd w:val="0"/>
        <w:snapToGrid w:val="0"/>
        <w:ind w:rightChars="-71" w:right="-149"/>
        <w:jc w:val="center"/>
        <w:rPr>
          <w:rFonts w:ascii="Times New Roman" w:eastAsia="方正小标宋_GBK" w:hAnsi="Times New Roman"/>
          <w:sz w:val="36"/>
          <w:szCs w:val="36"/>
        </w:rPr>
      </w:pPr>
      <w:r>
        <w:rPr>
          <w:rFonts w:ascii="Times New Roman" w:eastAsia="方正小标宋_GBK" w:hAnsi="Times New Roman"/>
          <w:sz w:val="36"/>
          <w:szCs w:val="36"/>
        </w:rPr>
        <w:t>政府性基金预算支出</w:t>
      </w:r>
      <w:r>
        <w:rPr>
          <w:rFonts w:ascii="Times New Roman" w:eastAsia="方正小标宋_GBK" w:hAnsi="Times New Roman" w:hint="eastAsia"/>
          <w:sz w:val="36"/>
          <w:szCs w:val="36"/>
        </w:rPr>
        <w:t>决算</w:t>
      </w:r>
      <w:r>
        <w:rPr>
          <w:rFonts w:ascii="Times New Roman" w:eastAsia="方正小标宋_GBK" w:hAnsi="Times New Roman"/>
          <w:sz w:val="36"/>
          <w:szCs w:val="36"/>
        </w:rPr>
        <w:t>表</w:t>
      </w:r>
    </w:p>
    <w:p w:rsidR="00BF0D98" w:rsidRDefault="00000000">
      <w:pPr>
        <w:widowControl/>
        <w:adjustRightInd w:val="0"/>
        <w:snapToGrid w:val="0"/>
        <w:ind w:rightChars="-71" w:right="-149"/>
        <w:jc w:val="center"/>
        <w:rPr>
          <w:rFonts w:ascii="Times New Roman" w:eastAsia="方正楷体_GBK" w:hAnsi="Times New Roman"/>
          <w:sz w:val="32"/>
        </w:rPr>
      </w:pPr>
      <w:r>
        <w:rPr>
          <w:rFonts w:ascii="Times New Roman" w:eastAsia="方正楷体_GBK" w:hAnsi="Times New Roman"/>
          <w:sz w:val="28"/>
          <w:szCs w:val="21"/>
        </w:rPr>
        <w:t>（支出功能分类科目）</w:t>
      </w:r>
    </w:p>
    <w:p w:rsidR="00BF0D98" w:rsidRDefault="00000000" w:rsidP="009A3D02">
      <w:pPr>
        <w:widowControl/>
        <w:ind w:rightChars="-108" w:right="-227"/>
        <w:jc w:val="right"/>
        <w:rPr>
          <w:rFonts w:ascii="Times New Roman" w:eastAsia="方正楷体_GBK" w:hAnsi="Times New Roman"/>
          <w:sz w:val="24"/>
          <w:szCs w:val="24"/>
        </w:rPr>
      </w:pPr>
      <w:r>
        <w:rPr>
          <w:rFonts w:ascii="Times New Roman" w:eastAsia="方正楷体_GBK" w:hAnsi="Times New Roman"/>
          <w:sz w:val="24"/>
          <w:szCs w:val="24"/>
        </w:rPr>
        <w:t>单位：万元</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2587"/>
      </w:tblGrid>
      <w:tr w:rsidR="00BF0D98">
        <w:trPr>
          <w:trHeight w:val="276"/>
          <w:tblHeader/>
        </w:trPr>
        <w:tc>
          <w:tcPr>
            <w:tcW w:w="6343" w:type="dxa"/>
            <w:noWrap/>
            <w:vAlign w:val="center"/>
          </w:tcPr>
          <w:p w:rsidR="00BF0D98" w:rsidRDefault="00000000">
            <w:pPr>
              <w:widowControl/>
              <w:jc w:val="center"/>
              <w:rPr>
                <w:rFonts w:ascii="方正黑体_GBK" w:eastAsia="方正黑体_GBK" w:hAnsi="Times New Roman"/>
                <w:kern w:val="0"/>
                <w:sz w:val="24"/>
                <w:szCs w:val="24"/>
              </w:rPr>
            </w:pPr>
            <w:r>
              <w:rPr>
                <w:rFonts w:ascii="方正黑体_GBK" w:eastAsia="方正黑体_GBK" w:hAnsi="Times New Roman" w:hint="eastAsia"/>
                <w:kern w:val="0"/>
                <w:sz w:val="24"/>
                <w:szCs w:val="24"/>
              </w:rPr>
              <w:t>科目名称</w:t>
            </w:r>
          </w:p>
        </w:tc>
        <w:tc>
          <w:tcPr>
            <w:tcW w:w="2587" w:type="dxa"/>
            <w:noWrap/>
            <w:vAlign w:val="center"/>
          </w:tcPr>
          <w:p w:rsidR="00BF0D98" w:rsidRDefault="00000000">
            <w:pPr>
              <w:widowControl/>
              <w:jc w:val="center"/>
              <w:rPr>
                <w:rFonts w:ascii="方正黑体_GBK" w:eastAsia="方正黑体_GBK" w:hAnsi="Times New Roman"/>
                <w:kern w:val="0"/>
                <w:sz w:val="24"/>
                <w:szCs w:val="24"/>
              </w:rPr>
            </w:pPr>
            <w:r>
              <w:rPr>
                <w:rFonts w:ascii="方正黑体_GBK" w:eastAsia="方正黑体_GBK" w:hAnsi="Times New Roman" w:hint="eastAsia"/>
                <w:kern w:val="0"/>
                <w:sz w:val="24"/>
                <w:szCs w:val="24"/>
              </w:rPr>
              <w:t>决算数</w:t>
            </w:r>
          </w:p>
        </w:tc>
      </w:tr>
      <w:tr w:rsidR="00BF0D98">
        <w:trPr>
          <w:trHeight w:val="276"/>
        </w:trPr>
        <w:tc>
          <w:tcPr>
            <w:tcW w:w="6343" w:type="dxa"/>
            <w:noWrap/>
            <w:vAlign w:val="center"/>
          </w:tcPr>
          <w:p w:rsidR="00BF0D98" w:rsidRDefault="00000000">
            <w:pPr>
              <w:widowControl/>
              <w:jc w:val="center"/>
              <w:rPr>
                <w:rFonts w:ascii="Times New Roman" w:hAnsi="Times New Roman"/>
                <w:b/>
                <w:bCs/>
                <w:kern w:val="0"/>
                <w:sz w:val="24"/>
                <w:szCs w:val="24"/>
              </w:rPr>
            </w:pPr>
            <w:r>
              <w:rPr>
                <w:rFonts w:ascii="Times New Roman" w:hAnsi="Times New Roman"/>
                <w:b/>
                <w:bCs/>
                <w:kern w:val="0"/>
                <w:sz w:val="24"/>
                <w:szCs w:val="24"/>
              </w:rPr>
              <w:t>政府性基金预算支出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1,552,821</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城乡社区支出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453,018</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国有土地使用权出让收入安排的支出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408,399</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征地和拆迁补偿支出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88,165</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城市建设支出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115,254</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农村基础设施建设支出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102,231</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其他国有土地使用权出让收入安排的支出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102,749</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城市基础设施配套费安排的支出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40,966</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城市公共设施</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40,356</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其他城市基础设施配套费安排的支出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610</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污水处理费安排的支出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1,603</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污水处理设施建设和运营</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1,603</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超长期特别国债安排的支出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2,050</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城乡社区公共设施</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2,050</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农林水支出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37</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三峡水库库区基金支出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基础设施建设和经济发展</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国家重大水利工程建设基金安排的支出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33</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三峡后续工作</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33</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大中型水库移民后期扶持基金支出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3</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移民补助</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3</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其他支出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934,443</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lastRenderedPageBreak/>
              <w:t xml:space="preserve">  </w:t>
            </w:r>
            <w:r>
              <w:rPr>
                <w:rFonts w:ascii="Times New Roman" w:hAnsi="Times New Roman"/>
                <w:b/>
                <w:bCs/>
                <w:kern w:val="0"/>
                <w:sz w:val="24"/>
                <w:szCs w:val="24"/>
              </w:rPr>
              <w:t>其他政府性基金及对应专项债务收入安排的支出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921,300</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其他地方自行试点项目收益专项债券收入安排的支出</w:t>
            </w:r>
            <w:r>
              <w:rPr>
                <w:rFonts w:ascii="Times New Roman" w:hAnsi="Times New Roman"/>
                <w:kern w:val="0"/>
                <w:sz w:val="24"/>
                <w:szCs w:val="24"/>
              </w:rPr>
              <w:t xml:space="preserve">  </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854,500</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其他政府性基金债务收入安排的支出</w:t>
            </w:r>
            <w:r>
              <w:rPr>
                <w:rFonts w:ascii="Times New Roman" w:hAnsi="Times New Roman"/>
                <w:kern w:val="0"/>
                <w:sz w:val="24"/>
                <w:szCs w:val="24"/>
              </w:rPr>
              <w:t xml:space="preserve">  </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66,800</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彩票公益金安排的支出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3,143</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用于社会福利的彩票公益金支出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707</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用于体育事业的彩票公益金支出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1,653</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用于教育事业的彩票公益金支出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135</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用于残疾人事业的彩票公益金支出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179</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用于其他社会公益事业的彩票公益金支出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469</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超长期特别国债安排的其他支出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10,000</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10,000</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债务付息支出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165,306</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地方政府专项债务付息支出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165,306</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国有土地使用权出让金债务付息支出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16,190</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土地储备专项债券付息支出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2,452</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棚户区改造专项债券付息支出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2,755</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其他地方自行试点项目收益专项债券付息支出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143,909</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债务发行费用支出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17</w:t>
            </w:r>
          </w:p>
        </w:tc>
      </w:tr>
      <w:tr w:rsidR="00BF0D98">
        <w:trPr>
          <w:trHeight w:val="276"/>
        </w:trPr>
        <w:tc>
          <w:tcPr>
            <w:tcW w:w="6343" w:type="dxa"/>
            <w:noWrap/>
            <w:vAlign w:val="center"/>
          </w:tcPr>
          <w:p w:rsidR="00BF0D98" w:rsidRDefault="00000000">
            <w:pPr>
              <w:widowControl/>
              <w:jc w:val="left"/>
              <w:rPr>
                <w:rFonts w:ascii="Times New Roman" w:hAnsi="Times New Roman"/>
                <w:b/>
                <w:bCs/>
                <w:kern w:val="0"/>
                <w:sz w:val="24"/>
                <w:szCs w:val="24"/>
              </w:rPr>
            </w:pPr>
            <w:r>
              <w:rPr>
                <w:rFonts w:ascii="Times New Roman" w:hAnsi="Times New Roman"/>
                <w:b/>
                <w:bCs/>
                <w:kern w:val="0"/>
                <w:sz w:val="24"/>
                <w:szCs w:val="24"/>
              </w:rPr>
              <w:t xml:space="preserve">  </w:t>
            </w:r>
            <w:r>
              <w:rPr>
                <w:rFonts w:ascii="Times New Roman" w:hAnsi="Times New Roman"/>
                <w:b/>
                <w:bCs/>
                <w:kern w:val="0"/>
                <w:sz w:val="24"/>
                <w:szCs w:val="24"/>
              </w:rPr>
              <w:t>地方政府专项债务发行费用支出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17</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国有土地使用权出让金债务发行费用支出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6</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土地储备专项债券发行费用支出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4</w:t>
            </w:r>
          </w:p>
        </w:tc>
      </w:tr>
      <w:tr w:rsidR="00BF0D98">
        <w:trPr>
          <w:trHeight w:val="276"/>
        </w:trPr>
        <w:tc>
          <w:tcPr>
            <w:tcW w:w="6343" w:type="dxa"/>
            <w:noWrap/>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其他地方自行试点项目收益专项债券发行费用支出</w:t>
            </w:r>
          </w:p>
        </w:tc>
        <w:tc>
          <w:tcPr>
            <w:tcW w:w="2587" w:type="dxa"/>
            <w:noWrap/>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7</w:t>
            </w:r>
          </w:p>
        </w:tc>
      </w:tr>
    </w:tbl>
    <w:p w:rsidR="00BF0D98" w:rsidRDefault="00BF0D98">
      <w:pPr>
        <w:widowControl/>
        <w:jc w:val="left"/>
        <w:rPr>
          <w:rFonts w:ascii="Times New Roman" w:eastAsia="方正小标宋_GBK" w:hAnsi="Times New Roman"/>
          <w:sz w:val="32"/>
        </w:rPr>
      </w:pPr>
    </w:p>
    <w:p w:rsidR="00BF0D98" w:rsidRDefault="00000000">
      <w:pPr>
        <w:widowControl/>
        <w:jc w:val="left"/>
        <w:rPr>
          <w:rFonts w:ascii="Times New Roman" w:eastAsia="方正小标宋_GBK" w:hAnsi="Times New Roman"/>
          <w:sz w:val="32"/>
        </w:rPr>
      </w:pPr>
      <w:r>
        <w:rPr>
          <w:rFonts w:ascii="Times New Roman" w:eastAsia="方正小标宋_GBK" w:hAnsi="Times New Roman"/>
          <w:sz w:val="32"/>
        </w:rPr>
        <w:br w:type="page"/>
      </w:r>
    </w:p>
    <w:p w:rsidR="00BF0D98" w:rsidRDefault="00000000">
      <w:pPr>
        <w:spacing w:line="600" w:lineRule="exact"/>
        <w:jc w:val="left"/>
        <w:rPr>
          <w:rFonts w:ascii="Times New Roman" w:eastAsia="方正黑体_GBK" w:hAnsi="Times New Roman"/>
          <w:sz w:val="32"/>
        </w:rPr>
      </w:pPr>
      <w:r>
        <w:rPr>
          <w:rFonts w:ascii="Times New Roman" w:eastAsia="方正黑体_GBK" w:hAnsi="Times New Roman"/>
          <w:sz w:val="32"/>
        </w:rPr>
        <w:lastRenderedPageBreak/>
        <w:t>表</w:t>
      </w:r>
      <w:r>
        <w:rPr>
          <w:rFonts w:ascii="Times New Roman" w:eastAsia="方正黑体_GBK" w:hAnsi="Times New Roman" w:hint="eastAsia"/>
          <w:sz w:val="32"/>
        </w:rPr>
        <w:t>10</w:t>
      </w:r>
    </w:p>
    <w:p w:rsidR="00BF0D98" w:rsidRDefault="00000000">
      <w:pPr>
        <w:spacing w:line="600" w:lineRule="exact"/>
        <w:ind w:firstLineChars="200" w:firstLine="720"/>
        <w:jc w:val="center"/>
        <w:rPr>
          <w:rFonts w:ascii="Times New Roman" w:eastAsia="方正小标宋_GBK" w:hAnsi="Times New Roman"/>
          <w:sz w:val="32"/>
        </w:rPr>
      </w:pPr>
      <w:r>
        <w:rPr>
          <w:rFonts w:ascii="Times New Roman" w:eastAsia="方正小标宋_GBK" w:hAnsi="Times New Roman"/>
          <w:sz w:val="36"/>
          <w:szCs w:val="24"/>
        </w:rPr>
        <w:t>2024</w:t>
      </w:r>
      <w:r>
        <w:rPr>
          <w:rFonts w:ascii="Times New Roman" w:eastAsia="方正小标宋_GBK" w:hAnsi="Times New Roman"/>
          <w:sz w:val="36"/>
          <w:szCs w:val="24"/>
        </w:rPr>
        <w:t>年政府性基金转移支付收支</w:t>
      </w:r>
      <w:r>
        <w:rPr>
          <w:rFonts w:ascii="Times New Roman" w:eastAsia="方正小标宋_GBK" w:hAnsi="Times New Roman" w:hint="eastAsia"/>
          <w:sz w:val="36"/>
          <w:szCs w:val="24"/>
        </w:rPr>
        <w:t>决算</w:t>
      </w:r>
      <w:r>
        <w:rPr>
          <w:rFonts w:ascii="Times New Roman" w:eastAsia="方正小标宋_GBK" w:hAnsi="Times New Roman"/>
          <w:sz w:val="36"/>
          <w:szCs w:val="24"/>
        </w:rPr>
        <w:t>表</w:t>
      </w:r>
    </w:p>
    <w:p w:rsidR="00BF0D98" w:rsidRDefault="00000000">
      <w:pPr>
        <w:spacing w:line="600" w:lineRule="exact"/>
        <w:ind w:rightChars="-71" w:right="-149" w:firstLineChars="200" w:firstLine="480"/>
        <w:jc w:val="right"/>
        <w:rPr>
          <w:rFonts w:ascii="Times New Roman" w:eastAsia="方正楷体_GBK" w:hAnsi="Times New Roman"/>
          <w:sz w:val="32"/>
        </w:rPr>
      </w:pPr>
      <w:r>
        <w:rPr>
          <w:rFonts w:ascii="Times New Roman" w:eastAsia="方正楷体_GBK" w:hAnsi="Times New Roman"/>
          <w:sz w:val="24"/>
          <w:szCs w:val="20"/>
        </w:rPr>
        <w:t>单位：万元</w:t>
      </w: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2410"/>
        <w:gridCol w:w="1034"/>
      </w:tblGrid>
      <w:tr w:rsidR="00BF0D98">
        <w:trPr>
          <w:trHeight w:val="405"/>
        </w:trPr>
        <w:tc>
          <w:tcPr>
            <w:tcW w:w="4106" w:type="dxa"/>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项目</w:t>
            </w:r>
          </w:p>
        </w:tc>
        <w:tc>
          <w:tcPr>
            <w:tcW w:w="1559" w:type="dxa"/>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2410" w:type="dxa"/>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项目</w:t>
            </w:r>
          </w:p>
        </w:tc>
        <w:tc>
          <w:tcPr>
            <w:tcW w:w="1034" w:type="dxa"/>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政府性基金预算上级补助收入</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1,064,319</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政府性基金预算补助下级支出</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政府性基金转移支付收入</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1,064,319</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科学技术</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文化旅游体育与传媒</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社会保障和就业</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节能环保</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城乡社区</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1,051,690</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农林水</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42</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交通运输</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资源勘探工业信息等</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r w:rsidR="00BF0D98">
        <w:trPr>
          <w:trHeight w:val="405"/>
        </w:trPr>
        <w:tc>
          <w:tcPr>
            <w:tcW w:w="4106"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kern w:val="0"/>
                <w:sz w:val="24"/>
                <w:szCs w:val="24"/>
              </w:rPr>
              <w:t>其他收入</w:t>
            </w:r>
          </w:p>
        </w:tc>
        <w:tc>
          <w:tcPr>
            <w:tcW w:w="1559"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12,587</w:t>
            </w:r>
          </w:p>
        </w:tc>
        <w:tc>
          <w:tcPr>
            <w:tcW w:w="2410" w:type="dxa"/>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 xml:space="preserve">　</w:t>
            </w:r>
          </w:p>
        </w:tc>
        <w:tc>
          <w:tcPr>
            <w:tcW w:w="1034" w:type="dxa"/>
            <w:noWrap/>
            <w:vAlign w:val="center"/>
          </w:tcPr>
          <w:p w:rsidR="00BF0D98" w:rsidRDefault="00000000">
            <w:pPr>
              <w:widowControl/>
              <w:adjustRightInd w:val="0"/>
              <w:snapToGrid w:val="0"/>
              <w:jc w:val="right"/>
              <w:rPr>
                <w:rFonts w:ascii="Times New Roman" w:hAnsi="Times New Roman"/>
                <w:kern w:val="0"/>
                <w:sz w:val="24"/>
                <w:szCs w:val="24"/>
              </w:rPr>
            </w:pPr>
            <w:r>
              <w:rPr>
                <w:rFonts w:ascii="Times New Roman" w:hAnsi="Times New Roman"/>
                <w:kern w:val="0"/>
                <w:sz w:val="24"/>
                <w:szCs w:val="24"/>
              </w:rPr>
              <w:t xml:space="preserve">　</w:t>
            </w:r>
          </w:p>
        </w:tc>
      </w:tr>
    </w:tbl>
    <w:p w:rsidR="00BF0D98" w:rsidRDefault="00BF0D98">
      <w:pPr>
        <w:spacing w:line="600" w:lineRule="exact"/>
        <w:ind w:firstLineChars="200" w:firstLine="640"/>
        <w:jc w:val="center"/>
        <w:rPr>
          <w:rFonts w:ascii="Times New Roman" w:eastAsia="方正小标宋_GBK" w:hAnsi="Times New Roman"/>
          <w:sz w:val="32"/>
        </w:rPr>
      </w:pPr>
    </w:p>
    <w:p w:rsidR="00BF0D98" w:rsidRDefault="00000000">
      <w:pPr>
        <w:widowControl/>
        <w:jc w:val="left"/>
        <w:rPr>
          <w:rFonts w:ascii="Times New Roman" w:eastAsia="方正小标宋_GBK" w:hAnsi="Times New Roman"/>
          <w:sz w:val="32"/>
        </w:rPr>
        <w:sectPr w:rsidR="00BF0D98">
          <w:pgSz w:w="11906" w:h="16838"/>
          <w:pgMar w:top="2098" w:right="1531" w:bottom="1985" w:left="1531" w:header="851" w:footer="1417" w:gutter="0"/>
          <w:cols w:space="425"/>
          <w:docGrid w:type="lines" w:linePitch="435"/>
        </w:sectPr>
      </w:pPr>
      <w:r>
        <w:rPr>
          <w:rFonts w:ascii="Times New Roman" w:eastAsia="方正小标宋_GBK" w:hAnsi="Times New Roman"/>
          <w:sz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表11</w:t>
      </w:r>
    </w:p>
    <w:tbl>
      <w:tblPr>
        <w:tblW w:w="8400" w:type="dxa"/>
        <w:tblLook w:val="04A0" w:firstRow="1" w:lastRow="0" w:firstColumn="1" w:lastColumn="0" w:noHBand="0" w:noVBand="1"/>
      </w:tblPr>
      <w:tblGrid>
        <w:gridCol w:w="4961"/>
        <w:gridCol w:w="3439"/>
      </w:tblGrid>
      <w:tr w:rsidR="00BF0D98">
        <w:trPr>
          <w:trHeight w:val="468"/>
        </w:trPr>
        <w:tc>
          <w:tcPr>
            <w:tcW w:w="8400" w:type="dxa"/>
            <w:gridSpan w:val="2"/>
            <w:tcBorders>
              <w:top w:val="nil"/>
              <w:left w:val="nil"/>
              <w:bottom w:val="nil"/>
              <w:right w:val="nil"/>
            </w:tcBorders>
            <w:noWrap/>
            <w:vAlign w:val="bottom"/>
          </w:tcPr>
          <w:p w:rsidR="00BF0D98" w:rsidRDefault="00000000">
            <w:pPr>
              <w:widowControl/>
              <w:adjustRightInd w:val="0"/>
              <w:snapToGrid w:val="0"/>
              <w:jc w:val="center"/>
              <w:rPr>
                <w:rFonts w:ascii="方正小标宋_GBK" w:eastAsia="方正小标宋_GBK" w:hAnsi="等线" w:cs="宋体" w:hint="eastAsia"/>
                <w:color w:val="000000"/>
                <w:kern w:val="0"/>
                <w:sz w:val="36"/>
                <w:szCs w:val="36"/>
              </w:rPr>
            </w:pPr>
            <w:r>
              <w:rPr>
                <w:rFonts w:ascii="方正小标宋_GBK" w:eastAsia="方正小标宋_GBK" w:hAnsi="等线" w:cs="宋体" w:hint="eastAsia"/>
                <w:color w:val="000000"/>
                <w:kern w:val="0"/>
                <w:sz w:val="36"/>
                <w:szCs w:val="36"/>
              </w:rPr>
              <w:t>政府性基金预算转移支付</w:t>
            </w:r>
          </w:p>
          <w:p w:rsidR="00BF0D98" w:rsidRDefault="00000000">
            <w:pPr>
              <w:widowControl/>
              <w:adjustRightInd w:val="0"/>
              <w:snapToGrid w:val="0"/>
              <w:jc w:val="center"/>
              <w:rPr>
                <w:rFonts w:ascii="方正小标宋_GBK" w:eastAsia="方正小标宋_GBK" w:hAnsi="等线" w:cs="宋体" w:hint="eastAsia"/>
                <w:color w:val="000000"/>
                <w:kern w:val="0"/>
                <w:sz w:val="44"/>
                <w:szCs w:val="44"/>
              </w:rPr>
            </w:pPr>
            <w:r>
              <w:rPr>
                <w:rFonts w:ascii="方正小标宋_GBK" w:eastAsia="方正小标宋_GBK" w:hAnsi="等线" w:cs="宋体" w:hint="eastAsia"/>
                <w:color w:val="000000"/>
                <w:kern w:val="0"/>
                <w:sz w:val="36"/>
                <w:szCs w:val="36"/>
              </w:rPr>
              <w:t>分项目支出决算表</w:t>
            </w:r>
          </w:p>
        </w:tc>
      </w:tr>
      <w:tr w:rsidR="00BF0D98">
        <w:trPr>
          <w:trHeight w:val="654"/>
        </w:trPr>
        <w:tc>
          <w:tcPr>
            <w:tcW w:w="4961" w:type="dxa"/>
            <w:tcBorders>
              <w:top w:val="nil"/>
              <w:left w:val="nil"/>
              <w:bottom w:val="nil"/>
              <w:right w:val="nil"/>
            </w:tcBorders>
            <w:noWrap/>
            <w:vAlign w:val="bottom"/>
          </w:tcPr>
          <w:p w:rsidR="00BF0D98" w:rsidRDefault="00BF0D98">
            <w:pPr>
              <w:widowControl/>
              <w:jc w:val="center"/>
              <w:rPr>
                <w:rFonts w:ascii="方正小标宋_GBK" w:eastAsia="方正小标宋_GBK" w:hAnsi="等线" w:cs="宋体" w:hint="eastAsia"/>
                <w:color w:val="000000"/>
                <w:kern w:val="0"/>
                <w:sz w:val="36"/>
                <w:szCs w:val="36"/>
              </w:rPr>
            </w:pPr>
          </w:p>
        </w:tc>
        <w:tc>
          <w:tcPr>
            <w:tcW w:w="3439" w:type="dxa"/>
            <w:tcBorders>
              <w:top w:val="nil"/>
              <w:left w:val="nil"/>
              <w:bottom w:val="nil"/>
              <w:right w:val="nil"/>
            </w:tcBorders>
            <w:noWrap/>
            <w:vAlign w:val="bottom"/>
          </w:tcPr>
          <w:p w:rsidR="00BF0D98" w:rsidRDefault="00000000">
            <w:pPr>
              <w:widowControl/>
              <w:jc w:val="right"/>
              <w:rPr>
                <w:rFonts w:ascii="方正楷体_GBK" w:eastAsia="方正楷体_GBK" w:hAnsi="等线" w:cs="宋体" w:hint="eastAsia"/>
                <w:color w:val="000000"/>
                <w:kern w:val="0"/>
                <w:sz w:val="22"/>
              </w:rPr>
            </w:pPr>
            <w:r>
              <w:rPr>
                <w:rFonts w:ascii="方正楷体_GBK" w:eastAsia="方正楷体_GBK" w:hAnsi="等线" w:cs="宋体" w:hint="eastAsia"/>
                <w:color w:val="000000"/>
                <w:kern w:val="0"/>
                <w:sz w:val="22"/>
              </w:rPr>
              <w:t>单位：万元</w:t>
            </w:r>
          </w:p>
        </w:tc>
      </w:tr>
      <w:tr w:rsidR="00BF0D98">
        <w:trPr>
          <w:trHeight w:val="588"/>
        </w:trPr>
        <w:tc>
          <w:tcPr>
            <w:tcW w:w="4961"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jc w:val="center"/>
              <w:rPr>
                <w:rFonts w:ascii="方正黑体_GBK" w:eastAsia="方正黑体_GBK" w:hAnsi="等线" w:cs="宋体" w:hint="eastAsia"/>
                <w:kern w:val="0"/>
                <w:sz w:val="28"/>
                <w:szCs w:val="28"/>
              </w:rPr>
            </w:pPr>
            <w:r>
              <w:rPr>
                <w:rFonts w:ascii="方正黑体_GBK" w:eastAsia="方正黑体_GBK" w:hAnsi="等线" w:cs="宋体" w:hint="eastAsia"/>
                <w:kern w:val="0"/>
                <w:sz w:val="28"/>
                <w:szCs w:val="28"/>
              </w:rPr>
              <w:t>转移支付支出项目</w:t>
            </w:r>
          </w:p>
        </w:tc>
        <w:tc>
          <w:tcPr>
            <w:tcW w:w="3439"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方正黑体_GBK" w:eastAsia="方正黑体_GBK" w:hAnsi="等线" w:cs="宋体" w:hint="eastAsia"/>
                <w:kern w:val="0"/>
                <w:sz w:val="28"/>
                <w:szCs w:val="28"/>
              </w:rPr>
            </w:pPr>
            <w:r>
              <w:rPr>
                <w:rFonts w:ascii="方正黑体_GBK" w:eastAsia="方正黑体_GBK" w:hAnsi="等线" w:cs="宋体" w:hint="eastAsia"/>
                <w:kern w:val="0"/>
                <w:sz w:val="28"/>
                <w:szCs w:val="28"/>
              </w:rPr>
              <w:t>决算数</w:t>
            </w:r>
          </w:p>
        </w:tc>
      </w:tr>
      <w:tr w:rsidR="00BF0D98">
        <w:trPr>
          <w:trHeight w:val="636"/>
        </w:trPr>
        <w:tc>
          <w:tcPr>
            <w:tcW w:w="4961"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等线" w:eastAsia="等线" w:hAnsi="等线" w:cs="宋体" w:hint="eastAsia"/>
                <w:color w:val="000000"/>
                <w:kern w:val="0"/>
                <w:sz w:val="28"/>
                <w:szCs w:val="28"/>
              </w:rPr>
            </w:pPr>
            <w:r>
              <w:rPr>
                <w:rFonts w:ascii="等线" w:eastAsia="等线" w:hAnsi="等线" w:cs="宋体" w:hint="eastAsia"/>
                <w:color w:val="000000"/>
                <w:kern w:val="0"/>
                <w:sz w:val="28"/>
                <w:szCs w:val="28"/>
              </w:rPr>
              <w:t>-</w:t>
            </w:r>
          </w:p>
        </w:tc>
        <w:tc>
          <w:tcPr>
            <w:tcW w:w="3439" w:type="dxa"/>
            <w:tcBorders>
              <w:top w:val="nil"/>
              <w:left w:val="nil"/>
              <w:bottom w:val="single" w:sz="4" w:space="0" w:color="auto"/>
              <w:right w:val="single" w:sz="4" w:space="0" w:color="auto"/>
            </w:tcBorders>
            <w:noWrap/>
            <w:vAlign w:val="center"/>
          </w:tcPr>
          <w:p w:rsidR="00BF0D98" w:rsidRDefault="00000000">
            <w:pPr>
              <w:widowControl/>
              <w:jc w:val="center"/>
              <w:rPr>
                <w:rFonts w:ascii="等线" w:eastAsia="等线" w:hAnsi="等线" w:cs="宋体" w:hint="eastAsia"/>
                <w:color w:val="000000"/>
                <w:kern w:val="0"/>
                <w:sz w:val="28"/>
                <w:szCs w:val="28"/>
              </w:rPr>
            </w:pPr>
            <w:r>
              <w:rPr>
                <w:rFonts w:ascii="等线" w:eastAsia="等线" w:hAnsi="等线" w:cs="宋体" w:hint="eastAsia"/>
                <w:color w:val="000000"/>
                <w:kern w:val="0"/>
                <w:sz w:val="28"/>
                <w:szCs w:val="28"/>
              </w:rPr>
              <w:t>-</w:t>
            </w:r>
          </w:p>
        </w:tc>
      </w:tr>
    </w:tbl>
    <w:p w:rsidR="00BF0D98" w:rsidRDefault="00000000">
      <w:pPr>
        <w:widowControl/>
        <w:adjustRightInd w:val="0"/>
        <w:snapToGrid w:val="0"/>
        <w:jc w:val="left"/>
        <w:rPr>
          <w:rFonts w:ascii="方正楷体_GBK" w:eastAsia="方正楷体_GBK" w:hAnsi="Times New Roman"/>
          <w:sz w:val="22"/>
        </w:rPr>
      </w:pPr>
      <w:r>
        <w:rPr>
          <w:rFonts w:ascii="方正楷体_GBK" w:eastAsia="方正楷体_GBK" w:hAnsi="Times New Roman" w:hint="eastAsia"/>
          <w:sz w:val="22"/>
        </w:rPr>
        <w:t>注：按现有体制，重庆高新区对各镇街采用部门预算管理方式，无转移支付支出事项。</w:t>
      </w:r>
    </w:p>
    <w:p w:rsidR="00BF0D98" w:rsidRDefault="00BF0D98">
      <w:pPr>
        <w:widowControl/>
        <w:jc w:val="left"/>
        <w:rPr>
          <w:rFonts w:ascii="Times New Roman" w:eastAsia="方正黑体_GBK" w:hAnsi="Times New Roman"/>
          <w:sz w:val="32"/>
        </w:rPr>
      </w:pPr>
    </w:p>
    <w:p w:rsidR="00BF0D98" w:rsidRDefault="00000000">
      <w:pPr>
        <w:widowControl/>
        <w:jc w:val="left"/>
        <w:rPr>
          <w:rFonts w:ascii="Times New Roman" w:eastAsia="方正黑体_GBK" w:hAnsi="Times New Roman"/>
          <w:sz w:val="32"/>
        </w:rPr>
        <w:sectPr w:rsidR="00BF0D98">
          <w:pgSz w:w="11906" w:h="16838"/>
          <w:pgMar w:top="2098" w:right="1531" w:bottom="1985" w:left="1531" w:header="851" w:footer="1417" w:gutter="0"/>
          <w:cols w:space="425"/>
          <w:docGrid w:type="lines" w:linePitch="435"/>
        </w:sectPr>
      </w:pPr>
      <w:r>
        <w:rPr>
          <w:rFonts w:ascii="Times New Roman" w:eastAsia="方正黑体_GBK" w:hAnsi="Times New Roman"/>
          <w:sz w:val="32"/>
        </w:rPr>
        <w:br w:type="page"/>
      </w:r>
    </w:p>
    <w:p w:rsidR="00BF0D98" w:rsidRDefault="00000000" w:rsidP="009A3D02">
      <w:pPr>
        <w:widowControl/>
        <w:ind w:leftChars="-337" w:left="-650" w:hangingChars="18" w:hanging="58"/>
        <w:jc w:val="left"/>
        <w:rPr>
          <w:rFonts w:ascii="Times New Roman" w:eastAsia="方正黑体_GBK" w:hAnsi="Times New Roman"/>
          <w:sz w:val="32"/>
        </w:rPr>
      </w:pPr>
      <w:r>
        <w:rPr>
          <w:rFonts w:ascii="Times New Roman" w:eastAsia="方正黑体_GBK" w:hAnsi="Times New Roman"/>
          <w:sz w:val="32"/>
        </w:rPr>
        <w:lastRenderedPageBreak/>
        <w:t>表</w:t>
      </w:r>
      <w:r>
        <w:rPr>
          <w:rFonts w:ascii="Times New Roman" w:eastAsia="方正黑体_GBK" w:hAnsi="Times New Roman" w:hint="eastAsia"/>
          <w:sz w:val="32"/>
        </w:rPr>
        <w:t>12</w:t>
      </w:r>
    </w:p>
    <w:p w:rsidR="00BF0D98" w:rsidRDefault="00000000">
      <w:pPr>
        <w:widowControl/>
        <w:jc w:val="center"/>
        <w:rPr>
          <w:rFonts w:ascii="Times New Roman" w:eastAsia="方正小标宋_GBK" w:hAnsi="Times New Roman"/>
          <w:sz w:val="32"/>
        </w:rPr>
      </w:pPr>
      <w:r>
        <w:rPr>
          <w:rFonts w:ascii="Times New Roman" w:eastAsia="方正小标宋_GBK" w:hAnsi="Times New Roman"/>
          <w:sz w:val="36"/>
          <w:szCs w:val="24"/>
        </w:rPr>
        <w:t>2024</w:t>
      </w:r>
      <w:r>
        <w:rPr>
          <w:rFonts w:ascii="Times New Roman" w:eastAsia="方正小标宋_GBK" w:hAnsi="Times New Roman"/>
          <w:sz w:val="36"/>
          <w:szCs w:val="24"/>
        </w:rPr>
        <w:t>年国有资本经营预算收支</w:t>
      </w:r>
      <w:r>
        <w:rPr>
          <w:rFonts w:ascii="Times New Roman" w:eastAsia="方正小标宋_GBK" w:hAnsi="Times New Roman" w:hint="eastAsia"/>
          <w:sz w:val="36"/>
          <w:szCs w:val="24"/>
        </w:rPr>
        <w:t>决算</w:t>
      </w:r>
      <w:r>
        <w:rPr>
          <w:rFonts w:ascii="Times New Roman" w:eastAsia="方正小标宋_GBK" w:hAnsi="Times New Roman"/>
          <w:sz w:val="36"/>
          <w:szCs w:val="24"/>
        </w:rPr>
        <w:t>表</w:t>
      </w:r>
    </w:p>
    <w:p w:rsidR="00BF0D98" w:rsidRDefault="00000000" w:rsidP="009A3D02">
      <w:pPr>
        <w:widowControl/>
        <w:ind w:rightChars="-743" w:right="-1560"/>
        <w:jc w:val="right"/>
        <w:rPr>
          <w:rFonts w:ascii="Times New Roman" w:eastAsia="方正楷体_GBK" w:hAnsi="Times New Roman"/>
          <w:sz w:val="32"/>
        </w:rPr>
      </w:pPr>
      <w:r>
        <w:rPr>
          <w:rFonts w:ascii="Times New Roman" w:eastAsia="方正楷体_GBK" w:hAnsi="Times New Roman"/>
          <w:sz w:val="24"/>
          <w:szCs w:val="20"/>
        </w:rPr>
        <w:t>单位：万元</w:t>
      </w:r>
    </w:p>
    <w:tbl>
      <w:tblPr>
        <w:tblW w:w="15168" w:type="dxa"/>
        <w:tblInd w:w="-714" w:type="dxa"/>
        <w:tblLook w:val="04A0" w:firstRow="1" w:lastRow="0" w:firstColumn="1" w:lastColumn="0" w:noHBand="0" w:noVBand="1"/>
      </w:tblPr>
      <w:tblGrid>
        <w:gridCol w:w="1985"/>
        <w:gridCol w:w="1134"/>
        <w:gridCol w:w="1134"/>
        <w:gridCol w:w="846"/>
        <w:gridCol w:w="1181"/>
        <w:gridCol w:w="950"/>
        <w:gridCol w:w="2835"/>
        <w:gridCol w:w="1134"/>
        <w:gridCol w:w="1134"/>
        <w:gridCol w:w="1134"/>
        <w:gridCol w:w="850"/>
        <w:gridCol w:w="851"/>
      </w:tblGrid>
      <w:tr w:rsidR="00BF0D98">
        <w:trPr>
          <w:trHeight w:val="1116"/>
          <w:tblHeader/>
        </w:trPr>
        <w:tc>
          <w:tcPr>
            <w:tcW w:w="1985"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收</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入</w:t>
            </w:r>
          </w:p>
        </w:tc>
        <w:tc>
          <w:tcPr>
            <w:tcW w:w="1134"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预算数</w:t>
            </w:r>
          </w:p>
        </w:tc>
        <w:tc>
          <w:tcPr>
            <w:tcW w:w="1134"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调整</w:t>
            </w:r>
            <w:r>
              <w:rPr>
                <w:rFonts w:ascii="Times New Roman" w:eastAsia="方正黑体_GBK" w:hAnsi="Times New Roman"/>
                <w:kern w:val="0"/>
                <w:sz w:val="24"/>
                <w:szCs w:val="24"/>
              </w:rPr>
              <w:br/>
            </w:r>
            <w:r>
              <w:rPr>
                <w:rFonts w:ascii="Times New Roman" w:eastAsia="方正黑体_GBK" w:hAnsi="Times New Roman"/>
                <w:kern w:val="0"/>
                <w:sz w:val="24"/>
                <w:szCs w:val="24"/>
              </w:rPr>
              <w:t>预算数</w:t>
            </w:r>
          </w:p>
        </w:tc>
        <w:tc>
          <w:tcPr>
            <w:tcW w:w="846"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1181"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数为调整预算数</w:t>
            </w:r>
            <w:r>
              <w:rPr>
                <w:rFonts w:ascii="Times New Roman" w:eastAsia="方正黑体_GBK" w:hAnsi="Times New Roman"/>
                <w:kern w:val="0"/>
                <w:sz w:val="24"/>
                <w:szCs w:val="24"/>
              </w:rPr>
              <w:t>%</w:t>
            </w:r>
          </w:p>
        </w:tc>
        <w:tc>
          <w:tcPr>
            <w:tcW w:w="950"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数为上年年决算数的</w:t>
            </w:r>
            <w:r>
              <w:rPr>
                <w:rFonts w:ascii="Times New Roman" w:eastAsia="方正黑体_GBK" w:hAnsi="Times New Roman"/>
                <w:kern w:val="0"/>
                <w:sz w:val="24"/>
                <w:szCs w:val="24"/>
              </w:rPr>
              <w:t>%</w:t>
            </w:r>
          </w:p>
        </w:tc>
        <w:tc>
          <w:tcPr>
            <w:tcW w:w="2835"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支</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出</w:t>
            </w:r>
          </w:p>
        </w:tc>
        <w:tc>
          <w:tcPr>
            <w:tcW w:w="1134"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预算数</w:t>
            </w:r>
          </w:p>
        </w:tc>
        <w:tc>
          <w:tcPr>
            <w:tcW w:w="1134"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kern w:val="0"/>
                <w:sz w:val="24"/>
                <w:szCs w:val="24"/>
              </w:rPr>
              <w:t>调整</w:t>
            </w:r>
            <w:r>
              <w:rPr>
                <w:rFonts w:ascii="Times New Roman" w:eastAsia="方正黑体_GBK" w:hAnsi="Times New Roman"/>
                <w:kern w:val="0"/>
                <w:sz w:val="24"/>
                <w:szCs w:val="24"/>
              </w:rPr>
              <w:br/>
            </w:r>
            <w:r>
              <w:rPr>
                <w:rFonts w:ascii="Times New Roman" w:eastAsia="方正黑体_GBK" w:hAnsi="Times New Roman"/>
                <w:kern w:val="0"/>
                <w:sz w:val="24"/>
                <w:szCs w:val="24"/>
              </w:rPr>
              <w:t>预算数</w:t>
            </w:r>
          </w:p>
        </w:tc>
        <w:tc>
          <w:tcPr>
            <w:tcW w:w="1134"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c>
          <w:tcPr>
            <w:tcW w:w="850"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数为调整预算数</w:t>
            </w:r>
            <w:r>
              <w:rPr>
                <w:rFonts w:ascii="Times New Roman" w:eastAsia="方正黑体_GBK" w:hAnsi="Times New Roman"/>
                <w:kern w:val="0"/>
                <w:sz w:val="24"/>
                <w:szCs w:val="24"/>
              </w:rPr>
              <w:t>%</w:t>
            </w:r>
          </w:p>
        </w:tc>
        <w:tc>
          <w:tcPr>
            <w:tcW w:w="851"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Times New Roman" w:eastAsia="方正黑体_GBK" w:hAnsi="Times New Roman"/>
                <w:kern w:val="0"/>
                <w:sz w:val="24"/>
                <w:szCs w:val="24"/>
              </w:rPr>
            </w:pP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数为上年年决算数的</w:t>
            </w:r>
            <w:r>
              <w:rPr>
                <w:rFonts w:ascii="Times New Roman" w:eastAsia="方正黑体_GBK" w:hAnsi="Times New Roman"/>
                <w:kern w:val="0"/>
                <w:sz w:val="24"/>
                <w:szCs w:val="24"/>
              </w:rPr>
              <w:t>%</w:t>
            </w:r>
          </w:p>
        </w:tc>
      </w:tr>
      <w:tr w:rsidR="00BF0D98">
        <w:trPr>
          <w:trHeight w:val="705"/>
        </w:trPr>
        <w:tc>
          <w:tcPr>
            <w:tcW w:w="1985"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hAnsi="Times New Roman"/>
                <w:b/>
                <w:bCs/>
                <w:kern w:val="0"/>
                <w:sz w:val="24"/>
                <w:szCs w:val="24"/>
              </w:rPr>
            </w:pPr>
            <w:proofErr w:type="gramStart"/>
            <w:r>
              <w:rPr>
                <w:rFonts w:ascii="Times New Roman" w:hAnsi="Times New Roman"/>
                <w:b/>
                <w:bCs/>
                <w:kern w:val="0"/>
                <w:sz w:val="24"/>
                <w:szCs w:val="24"/>
              </w:rPr>
              <w:t>总</w:t>
            </w:r>
            <w:r>
              <w:rPr>
                <w:rFonts w:ascii="Times New Roman" w:hAnsi="Times New Roman"/>
                <w:b/>
                <w:bCs/>
                <w:kern w:val="0"/>
                <w:sz w:val="24"/>
                <w:szCs w:val="24"/>
              </w:rPr>
              <w:t xml:space="preserve">  </w:t>
            </w:r>
            <w:r>
              <w:rPr>
                <w:rFonts w:ascii="Times New Roman" w:hAnsi="Times New Roman"/>
                <w:b/>
                <w:bCs/>
                <w:kern w:val="0"/>
                <w:sz w:val="24"/>
                <w:szCs w:val="24"/>
              </w:rPr>
              <w:t>计</w:t>
            </w:r>
            <w:proofErr w:type="gramEnd"/>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4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8,375 </w:t>
            </w:r>
          </w:p>
        </w:tc>
        <w:tc>
          <w:tcPr>
            <w:tcW w:w="84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8,518 </w:t>
            </w:r>
          </w:p>
        </w:tc>
        <w:tc>
          <w:tcPr>
            <w:tcW w:w="118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101.7 </w:t>
            </w:r>
          </w:p>
        </w:tc>
        <w:tc>
          <w:tcPr>
            <w:tcW w:w="9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65.6 </w:t>
            </w:r>
          </w:p>
        </w:tc>
        <w:tc>
          <w:tcPr>
            <w:tcW w:w="283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center"/>
              <w:rPr>
                <w:rFonts w:ascii="Times New Roman" w:hAnsi="Times New Roman"/>
                <w:b/>
                <w:bCs/>
                <w:kern w:val="0"/>
                <w:sz w:val="24"/>
                <w:szCs w:val="24"/>
              </w:rPr>
            </w:pPr>
            <w:proofErr w:type="gramStart"/>
            <w:r>
              <w:rPr>
                <w:rFonts w:ascii="Times New Roman" w:hAnsi="Times New Roman"/>
                <w:b/>
                <w:bCs/>
                <w:kern w:val="0"/>
                <w:sz w:val="24"/>
                <w:szCs w:val="24"/>
              </w:rPr>
              <w:t>总</w:t>
            </w:r>
            <w:r>
              <w:rPr>
                <w:rFonts w:ascii="Times New Roman" w:hAnsi="Times New Roman"/>
                <w:b/>
                <w:bCs/>
                <w:kern w:val="0"/>
                <w:sz w:val="24"/>
                <w:szCs w:val="24"/>
              </w:rPr>
              <w:t xml:space="preserve">  </w:t>
            </w:r>
            <w:r>
              <w:rPr>
                <w:rFonts w:ascii="Times New Roman" w:hAnsi="Times New Roman"/>
                <w:b/>
                <w:bCs/>
                <w:kern w:val="0"/>
                <w:sz w:val="24"/>
                <w:szCs w:val="24"/>
              </w:rPr>
              <w:t>计</w:t>
            </w:r>
            <w:proofErr w:type="gramEnd"/>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4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8,375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8,518 </w:t>
            </w:r>
          </w:p>
        </w:tc>
        <w:tc>
          <w:tcPr>
            <w:tcW w:w="8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101.7 </w:t>
            </w:r>
          </w:p>
        </w:tc>
        <w:tc>
          <w:tcPr>
            <w:tcW w:w="85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65.6 </w:t>
            </w:r>
          </w:p>
        </w:tc>
      </w:tr>
      <w:tr w:rsidR="00BF0D98">
        <w:trPr>
          <w:trHeight w:val="705"/>
        </w:trPr>
        <w:tc>
          <w:tcPr>
            <w:tcW w:w="1985"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本级收入合计</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8,371 </w:t>
            </w:r>
          </w:p>
        </w:tc>
        <w:tc>
          <w:tcPr>
            <w:tcW w:w="84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8,514 </w:t>
            </w:r>
          </w:p>
        </w:tc>
        <w:tc>
          <w:tcPr>
            <w:tcW w:w="118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101.7 </w:t>
            </w:r>
          </w:p>
        </w:tc>
        <w:tc>
          <w:tcPr>
            <w:tcW w:w="9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65.7 </w:t>
            </w:r>
          </w:p>
        </w:tc>
        <w:tc>
          <w:tcPr>
            <w:tcW w:w="283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本级支出合计</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4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4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        -   </w:t>
            </w:r>
          </w:p>
        </w:tc>
        <w:tc>
          <w:tcPr>
            <w:tcW w:w="8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　</w:t>
            </w:r>
          </w:p>
        </w:tc>
        <w:tc>
          <w:tcPr>
            <w:tcW w:w="85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r>
      <w:tr w:rsidR="00BF0D98">
        <w:trPr>
          <w:trHeight w:val="705"/>
        </w:trPr>
        <w:tc>
          <w:tcPr>
            <w:tcW w:w="1985"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一、国有资本经营预算收入</w:t>
            </w:r>
          </w:p>
        </w:tc>
        <w:tc>
          <w:tcPr>
            <w:tcW w:w="1134"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kern w:val="0"/>
                <w:sz w:val="24"/>
                <w:szCs w:val="24"/>
              </w:rPr>
            </w:pPr>
            <w:r>
              <w:rPr>
                <w:rFonts w:ascii="Times New Roman" w:eastAsia="等线" w:hAnsi="Times New Roman"/>
                <w:kern w:val="0"/>
                <w:sz w:val="24"/>
                <w:szCs w:val="24"/>
              </w:rPr>
              <w:t xml:space="preserve">   8,371 </w:t>
            </w:r>
          </w:p>
        </w:tc>
        <w:tc>
          <w:tcPr>
            <w:tcW w:w="84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8,514</w:t>
            </w:r>
          </w:p>
        </w:tc>
        <w:tc>
          <w:tcPr>
            <w:tcW w:w="1181"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101.7 </w:t>
            </w:r>
          </w:p>
        </w:tc>
        <w:tc>
          <w:tcPr>
            <w:tcW w:w="9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65.7 </w:t>
            </w:r>
          </w:p>
        </w:tc>
        <w:tc>
          <w:tcPr>
            <w:tcW w:w="283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一、国有资本经营预算支出</w:t>
            </w:r>
          </w:p>
        </w:tc>
        <w:tc>
          <w:tcPr>
            <w:tcW w:w="1134"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4 </w:t>
            </w:r>
          </w:p>
        </w:tc>
        <w:tc>
          <w:tcPr>
            <w:tcW w:w="1134"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4 </w:t>
            </w:r>
          </w:p>
        </w:tc>
        <w:tc>
          <w:tcPr>
            <w:tcW w:w="1134"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c>
          <w:tcPr>
            <w:tcW w:w="85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r>
      <w:tr w:rsidR="00BF0D98">
        <w:trPr>
          <w:trHeight w:val="705"/>
        </w:trPr>
        <w:tc>
          <w:tcPr>
            <w:tcW w:w="1985"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846"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 xml:space="preserve">　</w:t>
            </w:r>
          </w:p>
        </w:tc>
        <w:tc>
          <w:tcPr>
            <w:tcW w:w="118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　</w:t>
            </w:r>
          </w:p>
        </w:tc>
        <w:tc>
          <w:tcPr>
            <w:tcW w:w="9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　</w:t>
            </w:r>
          </w:p>
        </w:tc>
        <w:tc>
          <w:tcPr>
            <w:tcW w:w="283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ascii="Times New Roman" w:hAnsi="Times New Roman"/>
                <w:color w:val="000000"/>
                <w:kern w:val="0"/>
                <w:sz w:val="24"/>
                <w:szCs w:val="24"/>
              </w:rPr>
              <w:t>解决历史遗留问题及改革成本支出</w:t>
            </w:r>
          </w:p>
        </w:tc>
        <w:tc>
          <w:tcPr>
            <w:tcW w:w="1134" w:type="dxa"/>
            <w:tcBorders>
              <w:top w:val="nil"/>
              <w:left w:val="nil"/>
              <w:bottom w:val="single" w:sz="4" w:space="0" w:color="auto"/>
              <w:right w:val="single" w:sz="4" w:space="0" w:color="auto"/>
            </w:tcBorders>
            <w:shd w:val="clear" w:color="000000" w:fill="FFFFFF"/>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4 </w:t>
            </w:r>
          </w:p>
        </w:tc>
        <w:tc>
          <w:tcPr>
            <w:tcW w:w="1134"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4 </w:t>
            </w:r>
          </w:p>
        </w:tc>
        <w:tc>
          <w:tcPr>
            <w:tcW w:w="1134"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c>
          <w:tcPr>
            <w:tcW w:w="8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c>
          <w:tcPr>
            <w:tcW w:w="85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r>
      <w:tr w:rsidR="00BF0D98">
        <w:trPr>
          <w:trHeight w:val="705"/>
        </w:trPr>
        <w:tc>
          <w:tcPr>
            <w:tcW w:w="1985"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转移性收入合计</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4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4 </w:t>
            </w:r>
          </w:p>
        </w:tc>
        <w:tc>
          <w:tcPr>
            <w:tcW w:w="84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4 </w:t>
            </w:r>
          </w:p>
        </w:tc>
        <w:tc>
          <w:tcPr>
            <w:tcW w:w="118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100.0 </w:t>
            </w:r>
          </w:p>
        </w:tc>
        <w:tc>
          <w:tcPr>
            <w:tcW w:w="9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14.3 </w:t>
            </w:r>
          </w:p>
        </w:tc>
        <w:tc>
          <w:tcPr>
            <w:tcW w:w="283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b/>
                <w:bCs/>
                <w:kern w:val="0"/>
                <w:sz w:val="24"/>
                <w:szCs w:val="24"/>
              </w:rPr>
            </w:pPr>
            <w:r>
              <w:rPr>
                <w:rFonts w:ascii="Times New Roman" w:hAnsi="Times New Roman"/>
                <w:b/>
                <w:bCs/>
                <w:kern w:val="0"/>
                <w:sz w:val="24"/>
                <w:szCs w:val="24"/>
              </w:rPr>
              <w:t>转移性支出合计</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8,371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8,518 </w:t>
            </w:r>
          </w:p>
        </w:tc>
        <w:tc>
          <w:tcPr>
            <w:tcW w:w="8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101.8 </w:t>
            </w:r>
          </w:p>
        </w:tc>
        <w:tc>
          <w:tcPr>
            <w:tcW w:w="85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83.0 </w:t>
            </w:r>
          </w:p>
        </w:tc>
      </w:tr>
      <w:tr w:rsidR="00BF0D98">
        <w:trPr>
          <w:trHeight w:val="705"/>
        </w:trPr>
        <w:tc>
          <w:tcPr>
            <w:tcW w:w="1985"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lastRenderedPageBreak/>
              <w:t>一、上级补助收入</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4.00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4 </w:t>
            </w:r>
          </w:p>
        </w:tc>
        <w:tc>
          <w:tcPr>
            <w:tcW w:w="84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4.00 </w:t>
            </w:r>
          </w:p>
        </w:tc>
        <w:tc>
          <w:tcPr>
            <w:tcW w:w="118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　</w:t>
            </w:r>
          </w:p>
        </w:tc>
        <w:tc>
          <w:tcPr>
            <w:tcW w:w="9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kern w:val="0"/>
                <w:sz w:val="24"/>
                <w:szCs w:val="24"/>
              </w:rPr>
            </w:pPr>
            <w:r>
              <w:rPr>
                <w:rFonts w:ascii="Times New Roman" w:eastAsia="等线" w:hAnsi="Times New Roman"/>
                <w:b/>
                <w:bCs/>
                <w:kern w:val="0"/>
                <w:sz w:val="24"/>
                <w:szCs w:val="24"/>
              </w:rPr>
              <w:t xml:space="preserve">　</w:t>
            </w:r>
          </w:p>
        </w:tc>
        <w:tc>
          <w:tcPr>
            <w:tcW w:w="283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一、调出资金</w:t>
            </w:r>
          </w:p>
        </w:tc>
        <w:tc>
          <w:tcPr>
            <w:tcW w:w="1134"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8,371 </w:t>
            </w:r>
          </w:p>
        </w:tc>
        <w:tc>
          <w:tcPr>
            <w:tcW w:w="1134"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8,514 </w:t>
            </w:r>
          </w:p>
        </w:tc>
        <w:tc>
          <w:tcPr>
            <w:tcW w:w="8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101.7 </w:t>
            </w:r>
          </w:p>
        </w:tc>
        <w:tc>
          <w:tcPr>
            <w:tcW w:w="851"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82.9 </w:t>
            </w:r>
          </w:p>
        </w:tc>
      </w:tr>
      <w:tr w:rsidR="00BF0D98">
        <w:trPr>
          <w:trHeight w:val="705"/>
        </w:trPr>
        <w:tc>
          <w:tcPr>
            <w:tcW w:w="1985" w:type="dxa"/>
            <w:tcBorders>
              <w:top w:val="nil"/>
              <w:left w:val="single" w:sz="4" w:space="0" w:color="auto"/>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二、上年结转</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846"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1181"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eastAsia="等线" w:hAnsi="Times New Roman"/>
                <w:b/>
                <w:bCs/>
                <w:kern w:val="0"/>
                <w:sz w:val="24"/>
                <w:szCs w:val="24"/>
              </w:rPr>
            </w:pPr>
          </w:p>
        </w:tc>
        <w:tc>
          <w:tcPr>
            <w:tcW w:w="9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kern w:val="0"/>
                <w:sz w:val="24"/>
                <w:szCs w:val="24"/>
              </w:rPr>
            </w:pPr>
            <w:r>
              <w:rPr>
                <w:rFonts w:ascii="Times New Roman" w:eastAsia="等线" w:hAnsi="Times New Roman"/>
                <w:kern w:val="0"/>
                <w:sz w:val="24"/>
                <w:szCs w:val="24"/>
              </w:rPr>
              <w:t xml:space="preserve">　</w:t>
            </w:r>
          </w:p>
        </w:tc>
        <w:tc>
          <w:tcPr>
            <w:tcW w:w="2835"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left"/>
              <w:rPr>
                <w:rFonts w:ascii="Times New Roman" w:hAnsi="Times New Roman"/>
                <w:kern w:val="0"/>
                <w:sz w:val="24"/>
                <w:szCs w:val="24"/>
              </w:rPr>
            </w:pPr>
            <w:r>
              <w:rPr>
                <w:rFonts w:ascii="Times New Roman" w:hAnsi="Times New Roman"/>
                <w:kern w:val="0"/>
                <w:sz w:val="24"/>
                <w:szCs w:val="24"/>
              </w:rPr>
              <w:t>二、结转下年</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　</w:t>
            </w:r>
          </w:p>
        </w:tc>
        <w:tc>
          <w:tcPr>
            <w:tcW w:w="1134"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color w:val="0D0D0D"/>
                <w:kern w:val="0"/>
                <w:sz w:val="24"/>
                <w:szCs w:val="24"/>
              </w:rPr>
            </w:pPr>
            <w:r>
              <w:rPr>
                <w:rFonts w:ascii="Times New Roman" w:eastAsia="等线" w:hAnsi="Times New Roman"/>
                <w:color w:val="0D0D0D"/>
                <w:kern w:val="0"/>
                <w:sz w:val="24"/>
                <w:szCs w:val="24"/>
              </w:rPr>
              <w:t xml:space="preserve">4 </w:t>
            </w:r>
          </w:p>
        </w:tc>
        <w:tc>
          <w:tcPr>
            <w:tcW w:w="850" w:type="dxa"/>
            <w:tcBorders>
              <w:top w:val="nil"/>
              <w:left w:val="nil"/>
              <w:bottom w:val="single" w:sz="4" w:space="0" w:color="auto"/>
              <w:right w:val="single" w:sz="4" w:space="0" w:color="auto"/>
            </w:tcBorders>
            <w:noWrap/>
            <w:vAlign w:val="center"/>
          </w:tcPr>
          <w:p w:rsidR="00BF0D98" w:rsidRDefault="00000000">
            <w:pPr>
              <w:widowControl/>
              <w:adjustRightInd w:val="0"/>
              <w:snapToGrid w:val="0"/>
              <w:jc w:val="right"/>
              <w:rPr>
                <w:rFonts w:ascii="Times New Roman" w:eastAsia="等线" w:hAnsi="Times New Roman"/>
                <w:b/>
                <w:bCs/>
                <w:color w:val="0D0D0D"/>
                <w:kern w:val="0"/>
                <w:sz w:val="24"/>
                <w:szCs w:val="24"/>
              </w:rPr>
            </w:pPr>
            <w:r>
              <w:rPr>
                <w:rFonts w:ascii="Times New Roman" w:eastAsia="等线" w:hAnsi="Times New Roman"/>
                <w:b/>
                <w:bCs/>
                <w:color w:val="0D0D0D"/>
                <w:kern w:val="0"/>
                <w:sz w:val="24"/>
                <w:szCs w:val="24"/>
              </w:rPr>
              <w:t xml:space="preserve">　</w:t>
            </w:r>
          </w:p>
        </w:tc>
        <w:tc>
          <w:tcPr>
            <w:tcW w:w="851" w:type="dxa"/>
            <w:tcBorders>
              <w:top w:val="nil"/>
              <w:left w:val="nil"/>
              <w:bottom w:val="single" w:sz="4" w:space="0" w:color="auto"/>
              <w:right w:val="single" w:sz="4" w:space="0" w:color="auto"/>
            </w:tcBorders>
            <w:noWrap/>
            <w:vAlign w:val="center"/>
          </w:tcPr>
          <w:p w:rsidR="00BF0D98" w:rsidRDefault="00BF0D98">
            <w:pPr>
              <w:widowControl/>
              <w:adjustRightInd w:val="0"/>
              <w:snapToGrid w:val="0"/>
              <w:jc w:val="right"/>
              <w:rPr>
                <w:rFonts w:ascii="Times New Roman" w:eastAsia="等线" w:hAnsi="Times New Roman"/>
                <w:color w:val="0D0D0D"/>
                <w:kern w:val="0"/>
                <w:sz w:val="24"/>
                <w:szCs w:val="24"/>
              </w:rPr>
            </w:pPr>
          </w:p>
        </w:tc>
      </w:tr>
    </w:tbl>
    <w:p w:rsidR="00BF0D98" w:rsidRDefault="00000000">
      <w:pPr>
        <w:widowControl/>
        <w:jc w:val="left"/>
        <w:rPr>
          <w:rFonts w:ascii="Times New Roman" w:eastAsia="方正小标宋_GBK" w:hAnsi="Times New Roman"/>
          <w:i/>
          <w:iCs/>
          <w:sz w:val="32"/>
        </w:rPr>
        <w:sectPr w:rsidR="00BF0D98">
          <w:pgSz w:w="16838" w:h="11906" w:orient="landscape"/>
          <w:pgMar w:top="1531" w:right="2098" w:bottom="1531" w:left="1985" w:header="851" w:footer="1417" w:gutter="0"/>
          <w:cols w:space="425"/>
          <w:docGrid w:type="lines" w:linePitch="435"/>
        </w:sectPr>
      </w:pPr>
      <w:r>
        <w:rPr>
          <w:rFonts w:ascii="Times New Roman" w:eastAsia="方正小标宋_GBK" w:hAnsi="Times New Roman"/>
          <w:i/>
          <w:iCs/>
          <w:sz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表13</w:t>
      </w:r>
    </w:p>
    <w:p w:rsidR="00BF0D98" w:rsidRDefault="00BF0D98">
      <w:pPr>
        <w:adjustRightInd w:val="0"/>
        <w:snapToGrid w:val="0"/>
        <w:spacing w:line="600" w:lineRule="exact"/>
        <w:jc w:val="center"/>
        <w:rPr>
          <w:rFonts w:ascii="方正小标宋_GBK" w:eastAsia="方正小标宋_GBK" w:hAnsi="Times New Roman"/>
          <w:sz w:val="36"/>
          <w:szCs w:val="36"/>
        </w:rPr>
      </w:pPr>
    </w:p>
    <w:p w:rsidR="00BF0D98" w:rsidRDefault="00000000">
      <w:pPr>
        <w:adjustRightInd w:val="0"/>
        <w:snapToGrid w:val="0"/>
        <w:spacing w:line="600" w:lineRule="exact"/>
        <w:ind w:rightChars="-248" w:right="-521"/>
        <w:jc w:val="center"/>
        <w:rPr>
          <w:rFonts w:ascii="方正小标宋_GBK" w:eastAsia="方正小标宋_GBK" w:hAnsi="Times New Roman"/>
          <w:sz w:val="36"/>
          <w:szCs w:val="36"/>
        </w:rPr>
      </w:pPr>
      <w:r>
        <w:rPr>
          <w:rFonts w:ascii="方正小标宋_GBK" w:eastAsia="方正小标宋_GBK" w:hAnsi="Times New Roman" w:hint="eastAsia"/>
          <w:sz w:val="36"/>
          <w:szCs w:val="36"/>
        </w:rPr>
        <w:t>国有资本经营预算本级收入决算表</w:t>
      </w:r>
    </w:p>
    <w:p w:rsidR="00BF0D98" w:rsidRDefault="00000000" w:rsidP="009A3D02">
      <w:pPr>
        <w:adjustRightInd w:val="0"/>
        <w:snapToGrid w:val="0"/>
        <w:spacing w:line="600" w:lineRule="exact"/>
        <w:ind w:rightChars="-446" w:right="-937"/>
        <w:jc w:val="right"/>
        <w:rPr>
          <w:rFonts w:ascii="方正楷体_GBK" w:eastAsia="方正楷体_GBK" w:hAnsi="Times New Roman"/>
          <w:sz w:val="32"/>
          <w:szCs w:val="32"/>
        </w:rPr>
      </w:pPr>
      <w:r>
        <w:rPr>
          <w:rFonts w:ascii="方正楷体_GBK" w:eastAsia="方正楷体_GBK" w:hAnsi="Times New Roman" w:hint="eastAsia"/>
          <w:sz w:val="24"/>
          <w:szCs w:val="24"/>
        </w:rPr>
        <w:t>单位：万元</w:t>
      </w:r>
    </w:p>
    <w:tbl>
      <w:tblPr>
        <w:tblW w:w="9634" w:type="dxa"/>
        <w:tblInd w:w="113" w:type="dxa"/>
        <w:tblLook w:val="04A0" w:firstRow="1" w:lastRow="0" w:firstColumn="1" w:lastColumn="0" w:noHBand="0" w:noVBand="1"/>
      </w:tblPr>
      <w:tblGrid>
        <w:gridCol w:w="5240"/>
        <w:gridCol w:w="1559"/>
        <w:gridCol w:w="1560"/>
        <w:gridCol w:w="1275"/>
      </w:tblGrid>
      <w:tr w:rsidR="00BF0D98">
        <w:trPr>
          <w:trHeight w:val="345"/>
        </w:trPr>
        <w:tc>
          <w:tcPr>
            <w:tcW w:w="5240" w:type="dxa"/>
            <w:tcBorders>
              <w:top w:val="single" w:sz="4" w:space="0" w:color="000000"/>
              <w:left w:val="single" w:sz="4" w:space="0" w:color="000000"/>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预算科目</w:t>
            </w:r>
          </w:p>
        </w:tc>
        <w:tc>
          <w:tcPr>
            <w:tcW w:w="1559" w:type="dxa"/>
            <w:tcBorders>
              <w:top w:val="single" w:sz="4" w:space="0" w:color="000000"/>
              <w:left w:val="nil"/>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年初预算数</w:t>
            </w:r>
          </w:p>
        </w:tc>
        <w:tc>
          <w:tcPr>
            <w:tcW w:w="1560" w:type="dxa"/>
            <w:tcBorders>
              <w:top w:val="single" w:sz="4" w:space="0" w:color="000000"/>
              <w:left w:val="nil"/>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调整预算数</w:t>
            </w:r>
          </w:p>
        </w:tc>
        <w:tc>
          <w:tcPr>
            <w:tcW w:w="1275" w:type="dxa"/>
            <w:tcBorders>
              <w:top w:val="single" w:sz="4" w:space="0" w:color="000000"/>
              <w:left w:val="nil"/>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w:t>
            </w:r>
          </w:p>
        </w:tc>
      </w:tr>
      <w:tr w:rsidR="00BF0D98">
        <w:trPr>
          <w:trHeight w:val="345"/>
        </w:trPr>
        <w:tc>
          <w:tcPr>
            <w:tcW w:w="5240" w:type="dxa"/>
            <w:tcBorders>
              <w:top w:val="nil"/>
              <w:left w:val="single" w:sz="4" w:space="0" w:color="000000"/>
              <w:bottom w:val="single" w:sz="4" w:space="0" w:color="000000"/>
              <w:right w:val="single" w:sz="4" w:space="0" w:color="000000"/>
            </w:tcBorders>
            <w:noWrap/>
            <w:vAlign w:val="center"/>
          </w:tcPr>
          <w:p w:rsidR="00BF0D98"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t>国有资本经营预算收入</w:t>
            </w:r>
          </w:p>
        </w:tc>
        <w:tc>
          <w:tcPr>
            <w:tcW w:w="1559"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56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8,371</w:t>
            </w:r>
          </w:p>
        </w:tc>
        <w:tc>
          <w:tcPr>
            <w:tcW w:w="127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8,514</w:t>
            </w:r>
          </w:p>
        </w:tc>
      </w:tr>
      <w:tr w:rsidR="00BF0D98">
        <w:trPr>
          <w:trHeight w:val="345"/>
        </w:trPr>
        <w:tc>
          <w:tcPr>
            <w:tcW w:w="524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非税收入</w:t>
            </w:r>
          </w:p>
        </w:tc>
        <w:tc>
          <w:tcPr>
            <w:tcW w:w="1559"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56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8,371</w:t>
            </w:r>
          </w:p>
        </w:tc>
        <w:tc>
          <w:tcPr>
            <w:tcW w:w="127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8,514</w:t>
            </w:r>
          </w:p>
        </w:tc>
      </w:tr>
      <w:tr w:rsidR="00BF0D98">
        <w:trPr>
          <w:trHeight w:val="345"/>
        </w:trPr>
        <w:tc>
          <w:tcPr>
            <w:tcW w:w="524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国有资本经营收入</w:t>
            </w:r>
          </w:p>
        </w:tc>
        <w:tc>
          <w:tcPr>
            <w:tcW w:w="1559"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56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8,371</w:t>
            </w:r>
          </w:p>
        </w:tc>
        <w:tc>
          <w:tcPr>
            <w:tcW w:w="127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8,514</w:t>
            </w:r>
          </w:p>
        </w:tc>
      </w:tr>
      <w:tr w:rsidR="00BF0D98">
        <w:trPr>
          <w:trHeight w:val="345"/>
        </w:trPr>
        <w:tc>
          <w:tcPr>
            <w:tcW w:w="524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利润收入</w:t>
            </w:r>
          </w:p>
        </w:tc>
        <w:tc>
          <w:tcPr>
            <w:tcW w:w="1559"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56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8,371</w:t>
            </w:r>
          </w:p>
        </w:tc>
        <w:tc>
          <w:tcPr>
            <w:tcW w:w="127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8,514</w:t>
            </w:r>
          </w:p>
        </w:tc>
      </w:tr>
      <w:tr w:rsidR="00BF0D98">
        <w:trPr>
          <w:trHeight w:val="345"/>
        </w:trPr>
        <w:tc>
          <w:tcPr>
            <w:tcW w:w="524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其他国有资本经营预算企业利润收入</w:t>
            </w:r>
          </w:p>
        </w:tc>
        <w:tc>
          <w:tcPr>
            <w:tcW w:w="1559"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56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8,371</w:t>
            </w:r>
          </w:p>
        </w:tc>
        <w:tc>
          <w:tcPr>
            <w:tcW w:w="1275"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8,514</w:t>
            </w:r>
          </w:p>
        </w:tc>
      </w:tr>
    </w:tbl>
    <w:p w:rsidR="00BF0D98" w:rsidRDefault="00BF0D98">
      <w:pPr>
        <w:adjustRightInd w:val="0"/>
        <w:snapToGrid w:val="0"/>
        <w:spacing w:line="600" w:lineRule="exact"/>
        <w:jc w:val="left"/>
        <w:rPr>
          <w:rFonts w:ascii="方正楷体_GBK" w:eastAsia="方正楷体_GBK" w:hAnsi="Times New Roman"/>
          <w:sz w:val="24"/>
          <w:szCs w:val="24"/>
        </w:rPr>
      </w:pPr>
    </w:p>
    <w:p w:rsidR="00BF0D98" w:rsidRDefault="00BF0D98">
      <w:pPr>
        <w:widowControl/>
        <w:jc w:val="left"/>
        <w:rPr>
          <w:rFonts w:ascii="Times New Roman" w:eastAsia="方正小标宋_GBK" w:hAnsi="Times New Roman"/>
          <w:sz w:val="32"/>
        </w:rPr>
      </w:pPr>
    </w:p>
    <w:p w:rsidR="00BF0D98" w:rsidRDefault="00000000">
      <w:pPr>
        <w:widowControl/>
        <w:jc w:val="left"/>
        <w:rPr>
          <w:rFonts w:ascii="Times New Roman" w:eastAsia="方正小标宋_GBK" w:hAnsi="Times New Roman"/>
          <w:sz w:val="32"/>
        </w:rPr>
        <w:sectPr w:rsidR="00BF0D98">
          <w:pgSz w:w="11906" w:h="16838"/>
          <w:pgMar w:top="2098" w:right="1531" w:bottom="1985" w:left="1531" w:header="851" w:footer="1417" w:gutter="0"/>
          <w:cols w:space="425"/>
          <w:docGrid w:type="lines" w:linePitch="435"/>
        </w:sectPr>
      </w:pPr>
      <w:r>
        <w:rPr>
          <w:rFonts w:ascii="Times New Roman" w:eastAsia="方正小标宋_GBK" w:hAnsi="Times New Roman"/>
          <w:sz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表14</w:t>
      </w:r>
    </w:p>
    <w:p w:rsidR="00BF0D98" w:rsidRDefault="00000000">
      <w:pPr>
        <w:adjustRightInd w:val="0"/>
        <w:snapToGrid w:val="0"/>
        <w:spacing w:line="600" w:lineRule="exact"/>
        <w:jc w:val="center"/>
        <w:rPr>
          <w:rFonts w:ascii="方正小标宋_GBK" w:eastAsia="方正小标宋_GBK" w:hAnsi="Times New Roman"/>
          <w:sz w:val="36"/>
          <w:szCs w:val="36"/>
        </w:rPr>
      </w:pPr>
      <w:r>
        <w:rPr>
          <w:rFonts w:ascii="方正小标宋_GBK" w:eastAsia="方正小标宋_GBK" w:hAnsi="Times New Roman" w:hint="eastAsia"/>
          <w:sz w:val="36"/>
          <w:szCs w:val="36"/>
        </w:rPr>
        <w:t>国有资本经营预算本级支出决算表</w:t>
      </w:r>
    </w:p>
    <w:p w:rsidR="00BF0D98" w:rsidRDefault="00000000" w:rsidP="009A3D02">
      <w:pPr>
        <w:adjustRightInd w:val="0"/>
        <w:snapToGrid w:val="0"/>
        <w:spacing w:line="600" w:lineRule="exact"/>
        <w:ind w:rightChars="-541" w:right="-1136"/>
        <w:jc w:val="right"/>
        <w:rPr>
          <w:rFonts w:ascii="方正楷体_GBK" w:eastAsia="方正楷体_GBK" w:hAnsi="Times New Roman"/>
          <w:sz w:val="24"/>
          <w:szCs w:val="24"/>
        </w:rPr>
      </w:pPr>
      <w:r>
        <w:rPr>
          <w:rFonts w:ascii="方正楷体_GBK" w:eastAsia="方正楷体_GBK" w:hAnsi="Times New Roman" w:hint="eastAsia"/>
          <w:sz w:val="24"/>
          <w:szCs w:val="24"/>
        </w:rPr>
        <w:t>单位：万元</w:t>
      </w:r>
    </w:p>
    <w:tbl>
      <w:tblPr>
        <w:tblW w:w="13745" w:type="dxa"/>
        <w:tblInd w:w="113" w:type="dxa"/>
        <w:tblLook w:val="04A0" w:firstRow="1" w:lastRow="0" w:firstColumn="1" w:lastColumn="0" w:noHBand="0" w:noVBand="1"/>
      </w:tblPr>
      <w:tblGrid>
        <w:gridCol w:w="4460"/>
        <w:gridCol w:w="1980"/>
        <w:gridCol w:w="1980"/>
        <w:gridCol w:w="1980"/>
        <w:gridCol w:w="1644"/>
        <w:gridCol w:w="1701"/>
      </w:tblGrid>
      <w:tr w:rsidR="00BF0D98">
        <w:trPr>
          <w:trHeight w:val="345"/>
          <w:tblHeader/>
        </w:trPr>
        <w:tc>
          <w:tcPr>
            <w:tcW w:w="4460" w:type="dxa"/>
            <w:tcBorders>
              <w:top w:val="single" w:sz="4" w:space="0" w:color="000000"/>
              <w:left w:val="single" w:sz="4" w:space="0" w:color="000000"/>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预算科目</w:t>
            </w:r>
          </w:p>
        </w:tc>
        <w:tc>
          <w:tcPr>
            <w:tcW w:w="1980" w:type="dxa"/>
            <w:tcBorders>
              <w:top w:val="single" w:sz="4" w:space="0" w:color="000000"/>
              <w:left w:val="nil"/>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预算数</w:t>
            </w:r>
          </w:p>
        </w:tc>
        <w:tc>
          <w:tcPr>
            <w:tcW w:w="1980" w:type="dxa"/>
            <w:tcBorders>
              <w:top w:val="single" w:sz="4" w:space="0" w:color="000000"/>
              <w:left w:val="nil"/>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调整预算数</w:t>
            </w:r>
          </w:p>
        </w:tc>
        <w:tc>
          <w:tcPr>
            <w:tcW w:w="1980" w:type="dxa"/>
            <w:tcBorders>
              <w:top w:val="single" w:sz="4" w:space="0" w:color="000000"/>
              <w:left w:val="nil"/>
              <w:bottom w:val="single" w:sz="4" w:space="0" w:color="000000"/>
              <w:right w:val="single" w:sz="4" w:space="0" w:color="000000"/>
            </w:tcBorders>
            <w:noWrap/>
            <w:vAlign w:val="center"/>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w:t>
            </w:r>
          </w:p>
        </w:tc>
        <w:tc>
          <w:tcPr>
            <w:tcW w:w="1644" w:type="dxa"/>
            <w:tcBorders>
              <w:top w:val="single" w:sz="4" w:space="0" w:color="000000"/>
              <w:left w:val="nil"/>
              <w:bottom w:val="single" w:sz="4" w:space="0" w:color="000000"/>
              <w:right w:val="single" w:sz="4" w:space="0" w:color="000000"/>
            </w:tcBorders>
          </w:tcPr>
          <w:p w:rsidR="00BF0D98" w:rsidRDefault="00000000">
            <w:pPr>
              <w:widowControl/>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决算数为调整预算数的%</w:t>
            </w:r>
          </w:p>
        </w:tc>
        <w:tc>
          <w:tcPr>
            <w:tcW w:w="1701" w:type="dxa"/>
            <w:tcBorders>
              <w:top w:val="single" w:sz="4" w:space="0" w:color="000000"/>
              <w:left w:val="nil"/>
              <w:bottom w:val="single" w:sz="4" w:space="0" w:color="000000"/>
              <w:right w:val="single" w:sz="4" w:space="0" w:color="000000"/>
            </w:tcBorders>
          </w:tcPr>
          <w:p w:rsidR="00BF0D98" w:rsidRDefault="00000000">
            <w:pPr>
              <w:widowControl/>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决算数为上年决算数的%</w:t>
            </w: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center"/>
              <w:rPr>
                <w:rFonts w:ascii="宋体" w:hAnsi="宋体" w:cs="宋体" w:hint="eastAsia"/>
                <w:b/>
                <w:bCs/>
                <w:kern w:val="0"/>
                <w:sz w:val="24"/>
                <w:szCs w:val="24"/>
              </w:rPr>
            </w:pPr>
            <w:r>
              <w:rPr>
                <w:rFonts w:ascii="宋体" w:hAnsi="宋体" w:cs="宋体" w:hint="eastAsia"/>
                <w:b/>
                <w:bCs/>
                <w:kern w:val="0"/>
                <w:sz w:val="24"/>
                <w:szCs w:val="24"/>
              </w:rPr>
              <w:t>国有资本经营预算支出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社会保障和就业支出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补充全国社会保障基金</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国有资本经营预算补充社保基金支出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国有资本经营预算支出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解决历史遗留问题及改革成本支出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厂办大集体改革支出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“三供一业”移交补助支出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国有企业办职教幼教补助支出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国有企业办公共服务机构移交补助支出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lastRenderedPageBreak/>
              <w:t xml:space="preserve">    国有企业退休人员社会化管理补助支出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4</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国有企业棚户区改造支出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国有企业改革成本支出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离休干部医药费补助支出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nil"/>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金融企业改革性支出</w:t>
            </w:r>
          </w:p>
        </w:tc>
        <w:tc>
          <w:tcPr>
            <w:tcW w:w="1980" w:type="dxa"/>
            <w:tcBorders>
              <w:top w:val="nil"/>
              <w:left w:val="single" w:sz="4" w:space="0" w:color="000000"/>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其他解决历史遗留问题及改革成本支出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国有企业资本金注入</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国有经济结构调整支出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nil"/>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公益性设施投资支出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nil"/>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nil"/>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nil"/>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single" w:sz="4" w:space="0" w:color="000000"/>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前瞻性战略性产业发展支出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single" w:sz="4" w:space="0" w:color="000000"/>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single" w:sz="4" w:space="0" w:color="000000"/>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single" w:sz="4" w:space="0" w:color="000000"/>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生态环境保护支出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支持科技进步支出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保障国家经济安全支出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金融企业资本性支出</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其他国有企业资本金注入</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lastRenderedPageBreak/>
              <w:t xml:space="preserve">  国有企业政策性补贴</w:t>
            </w:r>
            <w:proofErr w:type="gramStart"/>
            <w:r>
              <w:rPr>
                <w:rFonts w:ascii="宋体" w:hAnsi="宋体" w:cs="宋体" w:hint="eastAsia"/>
                <w:b/>
                <w:bCs/>
                <w:kern w:val="0"/>
                <w:sz w:val="24"/>
                <w:szCs w:val="24"/>
              </w:rPr>
              <w:t>(款)</w:t>
            </w:r>
            <w:proofErr w:type="gramEnd"/>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国有企业政策性补贴</w:t>
            </w:r>
            <w:proofErr w:type="gramStart"/>
            <w:r>
              <w:rPr>
                <w:rFonts w:ascii="宋体" w:hAnsi="宋体" w:cs="宋体" w:hint="eastAsia"/>
                <w:kern w:val="0"/>
                <w:sz w:val="24"/>
                <w:szCs w:val="24"/>
              </w:rPr>
              <w:t>(项)</w:t>
            </w:r>
            <w:proofErr w:type="gramEnd"/>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 xml:space="preserve">  其他国有资本经营预算支出</w:t>
            </w:r>
            <w:proofErr w:type="gramStart"/>
            <w:r>
              <w:rPr>
                <w:rFonts w:ascii="宋体" w:hAnsi="宋体" w:cs="宋体" w:hint="eastAsia"/>
                <w:b/>
                <w:bCs/>
                <w:kern w:val="0"/>
                <w:sz w:val="24"/>
                <w:szCs w:val="24"/>
              </w:rPr>
              <w:t>(款)</w:t>
            </w:r>
            <w:proofErr w:type="gramEnd"/>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r w:rsidR="00BF0D98">
        <w:trPr>
          <w:trHeight w:val="345"/>
        </w:trPr>
        <w:tc>
          <w:tcPr>
            <w:tcW w:w="4460" w:type="dxa"/>
            <w:tcBorders>
              <w:top w:val="nil"/>
              <w:left w:val="single" w:sz="4" w:space="0" w:color="000000"/>
              <w:bottom w:val="single" w:sz="4" w:space="0" w:color="000000"/>
              <w:right w:val="single" w:sz="4" w:space="0" w:color="000000"/>
            </w:tcBorders>
            <w:noWrap/>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其他国有资本经营预算支出</w:t>
            </w:r>
            <w:proofErr w:type="gramStart"/>
            <w:r>
              <w:rPr>
                <w:rFonts w:ascii="宋体" w:hAnsi="宋体" w:cs="宋体" w:hint="eastAsia"/>
                <w:kern w:val="0"/>
                <w:sz w:val="24"/>
                <w:szCs w:val="24"/>
              </w:rPr>
              <w:t>(项)</w:t>
            </w:r>
            <w:proofErr w:type="gramEnd"/>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980" w:type="dxa"/>
            <w:tcBorders>
              <w:top w:val="nil"/>
              <w:left w:val="nil"/>
              <w:bottom w:val="single" w:sz="4" w:space="0" w:color="000000"/>
              <w:right w:val="single" w:sz="4" w:space="0" w:color="000000"/>
            </w:tcBorders>
            <w:noWrap/>
            <w:vAlign w:val="center"/>
          </w:tcPr>
          <w:p w:rsidR="00BF0D98" w:rsidRDefault="00000000">
            <w:pPr>
              <w:widowControl/>
              <w:jc w:val="right"/>
              <w:rPr>
                <w:rFonts w:ascii="宋体" w:hAnsi="宋体" w:cs="宋体" w:hint="eastAsia"/>
                <w:kern w:val="0"/>
                <w:sz w:val="24"/>
                <w:szCs w:val="24"/>
              </w:rPr>
            </w:pPr>
            <w:r>
              <w:rPr>
                <w:rFonts w:ascii="宋体" w:hAnsi="宋体" w:cs="宋体" w:hint="eastAsia"/>
                <w:kern w:val="0"/>
                <w:sz w:val="24"/>
                <w:szCs w:val="24"/>
              </w:rPr>
              <w:t xml:space="preserve">　</w:t>
            </w:r>
          </w:p>
        </w:tc>
        <w:tc>
          <w:tcPr>
            <w:tcW w:w="1644"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c>
          <w:tcPr>
            <w:tcW w:w="1701" w:type="dxa"/>
            <w:tcBorders>
              <w:top w:val="nil"/>
              <w:left w:val="nil"/>
              <w:bottom w:val="single" w:sz="4" w:space="0" w:color="000000"/>
              <w:right w:val="single" w:sz="4" w:space="0" w:color="000000"/>
            </w:tcBorders>
          </w:tcPr>
          <w:p w:rsidR="00BF0D98" w:rsidRDefault="00BF0D98">
            <w:pPr>
              <w:widowControl/>
              <w:jc w:val="right"/>
              <w:rPr>
                <w:rFonts w:ascii="宋体" w:hAnsi="宋体" w:cs="宋体" w:hint="eastAsia"/>
                <w:kern w:val="0"/>
                <w:sz w:val="24"/>
                <w:szCs w:val="24"/>
              </w:rPr>
            </w:pPr>
          </w:p>
        </w:tc>
      </w:tr>
    </w:tbl>
    <w:p w:rsidR="00BF0D98" w:rsidRDefault="00BF0D98">
      <w:pPr>
        <w:widowControl/>
        <w:jc w:val="left"/>
        <w:rPr>
          <w:rFonts w:ascii="Times New Roman" w:eastAsia="方正小标宋_GBK" w:hAnsi="Times New Roman"/>
          <w:sz w:val="32"/>
        </w:rPr>
      </w:pPr>
    </w:p>
    <w:p w:rsidR="00BF0D98" w:rsidRDefault="00000000">
      <w:pPr>
        <w:widowControl/>
        <w:jc w:val="left"/>
        <w:rPr>
          <w:rFonts w:ascii="Times New Roman" w:eastAsia="方正小标宋_GBK" w:hAnsi="Times New Roman"/>
          <w:sz w:val="32"/>
        </w:rPr>
      </w:pPr>
      <w:r>
        <w:rPr>
          <w:rFonts w:ascii="Times New Roman" w:eastAsia="方正小标宋_GBK" w:hAnsi="Times New Roman"/>
          <w:sz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表15</w:t>
      </w:r>
    </w:p>
    <w:p w:rsidR="00BF0D98" w:rsidRDefault="00000000">
      <w:pPr>
        <w:adjustRightInd w:val="0"/>
        <w:snapToGrid w:val="0"/>
        <w:spacing w:line="600" w:lineRule="exact"/>
        <w:ind w:rightChars="-222" w:right="-466"/>
        <w:jc w:val="center"/>
        <w:rPr>
          <w:rFonts w:ascii="方正小标宋_GBK" w:eastAsia="方正小标宋_GBK" w:hAnsi="Times New Roman"/>
          <w:sz w:val="36"/>
          <w:szCs w:val="36"/>
        </w:rPr>
      </w:pPr>
      <w:r>
        <w:rPr>
          <w:rFonts w:ascii="方正小标宋_GBK" w:eastAsia="方正小标宋_GBK" w:hAnsi="Times New Roman" w:hint="eastAsia"/>
          <w:sz w:val="36"/>
          <w:szCs w:val="36"/>
        </w:rPr>
        <w:t>社会保险基金预算收入决算表</w:t>
      </w:r>
    </w:p>
    <w:p w:rsidR="00BF0D98" w:rsidRDefault="00000000" w:rsidP="009A3D02">
      <w:pPr>
        <w:adjustRightInd w:val="0"/>
        <w:snapToGrid w:val="0"/>
        <w:spacing w:line="600" w:lineRule="exact"/>
        <w:ind w:rightChars="-339" w:right="-712"/>
        <w:jc w:val="right"/>
        <w:rPr>
          <w:rFonts w:ascii="方正楷体_GBK" w:eastAsia="方正楷体_GBK" w:hAnsi="Times New Roman"/>
          <w:sz w:val="24"/>
          <w:szCs w:val="24"/>
        </w:rPr>
      </w:pPr>
      <w:r>
        <w:rPr>
          <w:rFonts w:ascii="方正楷体_GBK" w:eastAsia="方正楷体_GBK" w:hAnsi="Times New Roman" w:hint="eastAsia"/>
          <w:sz w:val="24"/>
          <w:szCs w:val="24"/>
        </w:rPr>
        <w:t>单位：万元</w:t>
      </w:r>
    </w:p>
    <w:tbl>
      <w:tblPr>
        <w:tblW w:w="13575" w:type="dxa"/>
        <w:tblLook w:val="04A0" w:firstRow="1" w:lastRow="0" w:firstColumn="1" w:lastColumn="0" w:noHBand="0" w:noVBand="1"/>
      </w:tblPr>
      <w:tblGrid>
        <w:gridCol w:w="4760"/>
        <w:gridCol w:w="960"/>
        <w:gridCol w:w="960"/>
        <w:gridCol w:w="3209"/>
        <w:gridCol w:w="1701"/>
        <w:gridCol w:w="1985"/>
      </w:tblGrid>
      <w:tr w:rsidR="00BF0D98">
        <w:trPr>
          <w:trHeight w:val="864"/>
          <w:tblHeader/>
        </w:trPr>
        <w:tc>
          <w:tcPr>
            <w:tcW w:w="476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项             目</w:t>
            </w:r>
          </w:p>
        </w:tc>
        <w:tc>
          <w:tcPr>
            <w:tcW w:w="960"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预算数</w:t>
            </w:r>
          </w:p>
        </w:tc>
        <w:tc>
          <w:tcPr>
            <w:tcW w:w="960"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调整预算数</w:t>
            </w:r>
          </w:p>
        </w:tc>
        <w:tc>
          <w:tcPr>
            <w:tcW w:w="3209"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w:t>
            </w:r>
          </w:p>
        </w:tc>
        <w:tc>
          <w:tcPr>
            <w:tcW w:w="1701"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决算数为调整预算数的%</w:t>
            </w:r>
          </w:p>
        </w:tc>
        <w:tc>
          <w:tcPr>
            <w:tcW w:w="1985"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决算数为上年决算数的%</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一、企业职工基本养老保险基金收入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二、城乡居民基本养老保险基金收入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三、机关事业单位基本养老保险基金收入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四、职工基本医疗保险基金收入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五、城乡居民基本医疗保险基金收入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lastRenderedPageBreak/>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六、失业保险基金收入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七、工伤保险基金收入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社会保险基金收入小计</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其中：  社会保险费收入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利息收入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76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财政补贴收入</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3209"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bl>
    <w:p w:rsidR="00BF0D98" w:rsidRDefault="00000000">
      <w:pPr>
        <w:widowControl/>
        <w:jc w:val="left"/>
        <w:rPr>
          <w:rFonts w:ascii="Times New Roman" w:eastAsia="方正小标宋_GBK" w:hAnsi="Times New Roman"/>
          <w:sz w:val="32"/>
        </w:rPr>
      </w:pPr>
      <w:r>
        <w:rPr>
          <w:rFonts w:ascii="方正楷体_GBK" w:eastAsia="方正楷体_GBK" w:hAnsi="Times New Roman" w:hint="eastAsia"/>
          <w:sz w:val="24"/>
          <w:szCs w:val="24"/>
        </w:rPr>
        <w:t>注：社会保险基金实行全市统筹的体制，重庆高新区无。</w:t>
      </w:r>
    </w:p>
    <w:p w:rsidR="00BF0D98" w:rsidRDefault="00000000">
      <w:pPr>
        <w:widowControl/>
        <w:jc w:val="left"/>
        <w:rPr>
          <w:rFonts w:ascii="Times New Roman" w:eastAsia="方正小标宋_GBK" w:hAnsi="Times New Roman"/>
          <w:sz w:val="32"/>
        </w:rPr>
      </w:pPr>
      <w:r>
        <w:rPr>
          <w:rFonts w:ascii="Times New Roman" w:eastAsia="方正小标宋_GBK" w:hAnsi="Times New Roman"/>
          <w:sz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表16</w:t>
      </w:r>
    </w:p>
    <w:p w:rsidR="00BF0D98" w:rsidRDefault="00000000">
      <w:pPr>
        <w:adjustRightInd w:val="0"/>
        <w:snapToGrid w:val="0"/>
        <w:spacing w:line="600" w:lineRule="exact"/>
        <w:ind w:rightChars="-222" w:right="-466"/>
        <w:jc w:val="center"/>
        <w:rPr>
          <w:rFonts w:ascii="方正小标宋_GBK" w:eastAsia="方正小标宋_GBK" w:hAnsi="Times New Roman"/>
          <w:sz w:val="36"/>
          <w:szCs w:val="36"/>
        </w:rPr>
      </w:pPr>
      <w:r>
        <w:rPr>
          <w:rFonts w:ascii="方正小标宋_GBK" w:eastAsia="方正小标宋_GBK" w:hAnsi="Times New Roman" w:hint="eastAsia"/>
          <w:sz w:val="36"/>
          <w:szCs w:val="36"/>
        </w:rPr>
        <w:t>社会保险基金预算支出决算表</w:t>
      </w:r>
    </w:p>
    <w:p w:rsidR="00BF0D98" w:rsidRDefault="00000000" w:rsidP="009A3D02">
      <w:pPr>
        <w:adjustRightInd w:val="0"/>
        <w:snapToGrid w:val="0"/>
        <w:spacing w:line="600" w:lineRule="exact"/>
        <w:ind w:rightChars="-406" w:right="-853"/>
        <w:jc w:val="right"/>
        <w:rPr>
          <w:rFonts w:ascii="方正楷体_GBK" w:eastAsia="方正楷体_GBK" w:hAnsi="Times New Roman"/>
          <w:sz w:val="24"/>
          <w:szCs w:val="24"/>
        </w:rPr>
      </w:pPr>
      <w:r>
        <w:rPr>
          <w:rFonts w:ascii="方正楷体_GBK" w:eastAsia="方正楷体_GBK" w:hAnsi="Times New Roman" w:hint="eastAsia"/>
          <w:sz w:val="24"/>
          <w:szCs w:val="24"/>
        </w:rPr>
        <w:t>单位：万元</w:t>
      </w:r>
    </w:p>
    <w:tbl>
      <w:tblPr>
        <w:tblW w:w="13575" w:type="dxa"/>
        <w:tblLook w:val="04A0" w:firstRow="1" w:lastRow="0" w:firstColumn="1" w:lastColumn="0" w:noHBand="0" w:noVBand="1"/>
      </w:tblPr>
      <w:tblGrid>
        <w:gridCol w:w="4640"/>
        <w:gridCol w:w="2414"/>
        <w:gridCol w:w="1559"/>
        <w:gridCol w:w="1418"/>
        <w:gridCol w:w="1701"/>
        <w:gridCol w:w="1843"/>
      </w:tblGrid>
      <w:tr w:rsidR="00BF0D98">
        <w:trPr>
          <w:trHeight w:val="864"/>
        </w:trPr>
        <w:tc>
          <w:tcPr>
            <w:tcW w:w="464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项             目</w:t>
            </w:r>
          </w:p>
        </w:tc>
        <w:tc>
          <w:tcPr>
            <w:tcW w:w="2414"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预算数</w:t>
            </w:r>
          </w:p>
        </w:tc>
        <w:tc>
          <w:tcPr>
            <w:tcW w:w="1559"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调整预算数</w:t>
            </w:r>
          </w:p>
        </w:tc>
        <w:tc>
          <w:tcPr>
            <w:tcW w:w="1418"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w:t>
            </w:r>
          </w:p>
        </w:tc>
        <w:tc>
          <w:tcPr>
            <w:tcW w:w="1701"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决算数为调整预算数的%</w:t>
            </w:r>
          </w:p>
        </w:tc>
        <w:tc>
          <w:tcPr>
            <w:tcW w:w="1843"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决算数为上年决算数的%</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一、企业职工基本养老保险基金支出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其中：  养老保险待遇支出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二、城乡居民基本养老保险基金支出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其中：  养老保险待遇支出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b/>
                <w:bCs/>
                <w:color w:val="000000"/>
                <w:kern w:val="0"/>
                <w:sz w:val="22"/>
              </w:rPr>
            </w:pPr>
            <w:r>
              <w:rPr>
                <w:rFonts w:ascii="宋体" w:hAnsi="宋体" w:cs="宋体" w:hint="eastAsia"/>
                <w:b/>
                <w:bCs/>
                <w:color w:val="000000"/>
                <w:kern w:val="0"/>
                <w:sz w:val="22"/>
              </w:rPr>
              <w:t>三、机关事业单位基本养老保险基金支出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其中：  养老保险待遇支出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四、职工基本医疗保险基金支出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其中：   医疗保险待遇支出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五、城乡居民基本医疗保险基金支出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其中：   医疗保险待遇支出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六、失业保险基金支出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其中：  失业保险待遇支出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七、工伤保险基金支出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宋体" w:hAnsi="宋体" w:cs="宋体" w:hint="eastAsia"/>
                <w:color w:val="000000"/>
                <w:kern w:val="0"/>
                <w:sz w:val="22"/>
              </w:rPr>
            </w:pPr>
            <w:r>
              <w:rPr>
                <w:rFonts w:ascii="宋体" w:hAnsi="宋体" w:cs="宋体" w:hint="eastAsia"/>
                <w:color w:val="000000"/>
                <w:kern w:val="0"/>
                <w:sz w:val="22"/>
              </w:rPr>
              <w:t>其中：  工伤保险待遇支出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社会保险基金支出小计</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288"/>
        </w:trPr>
        <w:tc>
          <w:tcPr>
            <w:tcW w:w="4640"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ind w:firstLineChars="100" w:firstLine="220"/>
              <w:jc w:val="left"/>
              <w:rPr>
                <w:rFonts w:ascii="宋体" w:hAnsi="宋体" w:cs="宋体" w:hint="eastAsia"/>
                <w:color w:val="000000"/>
                <w:kern w:val="0"/>
                <w:sz w:val="22"/>
              </w:rPr>
            </w:pPr>
            <w:r>
              <w:rPr>
                <w:rFonts w:ascii="宋体" w:hAnsi="宋体" w:cs="宋体" w:hint="eastAsia"/>
                <w:color w:val="000000"/>
                <w:kern w:val="0"/>
                <w:sz w:val="22"/>
              </w:rPr>
              <w:t xml:space="preserve">    其中：  待遇支出</w:t>
            </w:r>
          </w:p>
        </w:tc>
        <w:tc>
          <w:tcPr>
            <w:tcW w:w="241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bl>
    <w:p w:rsidR="00BF0D98" w:rsidRDefault="00000000">
      <w:pPr>
        <w:adjustRightInd w:val="0"/>
        <w:snapToGrid w:val="0"/>
        <w:spacing w:line="600" w:lineRule="exact"/>
        <w:jc w:val="left"/>
        <w:rPr>
          <w:rFonts w:ascii="Times New Roman" w:eastAsia="方正小标宋_GBK" w:hAnsi="Times New Roman"/>
          <w:sz w:val="32"/>
        </w:rPr>
      </w:pPr>
      <w:r>
        <w:rPr>
          <w:rFonts w:ascii="方正楷体_GBK" w:eastAsia="方正楷体_GBK" w:hAnsi="Times New Roman" w:hint="eastAsia"/>
          <w:sz w:val="24"/>
          <w:szCs w:val="24"/>
        </w:rPr>
        <w:t>注：社会保险基金实行全市统筹的体制，重庆高新区无。</w:t>
      </w:r>
      <w:r>
        <w:rPr>
          <w:rFonts w:ascii="Times New Roman" w:eastAsia="方正小标宋_GBK" w:hAnsi="Times New Roman"/>
          <w:sz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表17</w:t>
      </w:r>
    </w:p>
    <w:p w:rsidR="00BF0D98" w:rsidRDefault="00000000">
      <w:pPr>
        <w:adjustRightInd w:val="0"/>
        <w:snapToGrid w:val="0"/>
        <w:spacing w:line="600" w:lineRule="exact"/>
        <w:ind w:rightChars="-222" w:right="-466"/>
        <w:jc w:val="center"/>
        <w:rPr>
          <w:rFonts w:ascii="方正小标宋_GBK" w:eastAsia="方正小标宋_GBK" w:hAnsi="Times New Roman"/>
          <w:sz w:val="36"/>
          <w:szCs w:val="36"/>
        </w:rPr>
      </w:pPr>
      <w:r>
        <w:rPr>
          <w:rFonts w:ascii="方正小标宋_GBK" w:eastAsia="方正小标宋_GBK" w:hAnsi="Times New Roman" w:hint="eastAsia"/>
          <w:sz w:val="36"/>
          <w:szCs w:val="36"/>
        </w:rPr>
        <w:t>社会保险基金预算结余决算表</w:t>
      </w:r>
    </w:p>
    <w:p w:rsidR="00BF0D98" w:rsidRDefault="00000000" w:rsidP="009A3D02">
      <w:pPr>
        <w:adjustRightInd w:val="0"/>
        <w:snapToGrid w:val="0"/>
        <w:spacing w:line="600" w:lineRule="exact"/>
        <w:ind w:rightChars="-406" w:right="-853"/>
        <w:jc w:val="right"/>
        <w:rPr>
          <w:rFonts w:ascii="方正楷体_GBK" w:eastAsia="方正楷体_GBK" w:hAnsi="Times New Roman"/>
          <w:sz w:val="24"/>
          <w:szCs w:val="24"/>
        </w:rPr>
      </w:pPr>
      <w:r>
        <w:rPr>
          <w:rFonts w:ascii="方正楷体_GBK" w:eastAsia="方正楷体_GBK" w:hAnsi="Times New Roman" w:hint="eastAsia"/>
          <w:sz w:val="24"/>
          <w:szCs w:val="24"/>
        </w:rPr>
        <w:t>单位：万元</w:t>
      </w:r>
    </w:p>
    <w:tbl>
      <w:tblPr>
        <w:tblW w:w="13575" w:type="dxa"/>
        <w:tblLook w:val="04A0" w:firstRow="1" w:lastRow="0" w:firstColumn="1" w:lastColumn="0" w:noHBand="0" w:noVBand="1"/>
      </w:tblPr>
      <w:tblGrid>
        <w:gridCol w:w="6629"/>
        <w:gridCol w:w="1134"/>
        <w:gridCol w:w="1559"/>
        <w:gridCol w:w="992"/>
        <w:gridCol w:w="1560"/>
        <w:gridCol w:w="1701"/>
      </w:tblGrid>
      <w:tr w:rsidR="00BF0D98">
        <w:trPr>
          <w:trHeight w:val="864"/>
          <w:tblHeader/>
        </w:trPr>
        <w:tc>
          <w:tcPr>
            <w:tcW w:w="6629"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项             目</w:t>
            </w:r>
          </w:p>
        </w:tc>
        <w:tc>
          <w:tcPr>
            <w:tcW w:w="1134"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预算数</w:t>
            </w:r>
          </w:p>
        </w:tc>
        <w:tc>
          <w:tcPr>
            <w:tcW w:w="1559"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调整预算数</w:t>
            </w:r>
          </w:p>
        </w:tc>
        <w:tc>
          <w:tcPr>
            <w:tcW w:w="992"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w:t>
            </w:r>
          </w:p>
        </w:tc>
        <w:tc>
          <w:tcPr>
            <w:tcW w:w="1560"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决算数为调整预算数的%</w:t>
            </w:r>
          </w:p>
        </w:tc>
        <w:tc>
          <w:tcPr>
            <w:tcW w:w="1701" w:type="dxa"/>
            <w:tcBorders>
              <w:top w:val="single" w:sz="4" w:space="0" w:color="auto"/>
              <w:left w:val="nil"/>
              <w:bottom w:val="single" w:sz="4" w:space="0" w:color="auto"/>
              <w:right w:val="single" w:sz="4" w:space="0" w:color="auto"/>
            </w:tcBorders>
            <w:vAlign w:val="center"/>
          </w:tcPr>
          <w:p w:rsidR="00BF0D98" w:rsidRDefault="00000000">
            <w:pPr>
              <w:widowControl/>
              <w:adjustRightInd w:val="0"/>
              <w:snapToGrid w:val="0"/>
              <w:jc w:val="center"/>
              <w:rPr>
                <w:rFonts w:ascii="方正黑体_GBK" w:eastAsia="方正黑体_GBK" w:hAnsi="等线" w:cs="宋体" w:hint="eastAsia"/>
                <w:color w:val="000000"/>
                <w:kern w:val="0"/>
                <w:sz w:val="22"/>
              </w:rPr>
            </w:pPr>
            <w:r>
              <w:rPr>
                <w:rFonts w:ascii="方正黑体_GBK" w:eastAsia="方正黑体_GBK" w:hAnsi="等线" w:cs="宋体" w:hint="eastAsia"/>
                <w:color w:val="000000"/>
                <w:kern w:val="0"/>
                <w:sz w:val="22"/>
              </w:rPr>
              <w:t>决算数为上年决算数的%</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一、企业职工基本养老保险基金本年收支结余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ind w:firstLineChars="100" w:firstLine="220"/>
              <w:jc w:val="left"/>
              <w:rPr>
                <w:rFonts w:ascii="宋体" w:hAnsi="宋体" w:cs="宋体" w:hint="eastAsia"/>
                <w:color w:val="000000"/>
                <w:kern w:val="0"/>
                <w:sz w:val="22"/>
              </w:rPr>
            </w:pPr>
            <w:r>
              <w:rPr>
                <w:rFonts w:ascii="宋体" w:hAnsi="宋体" w:cs="宋体" w:hint="eastAsia"/>
                <w:color w:val="000000"/>
                <w:kern w:val="0"/>
                <w:sz w:val="22"/>
              </w:rPr>
              <w:t>企业职工基本养老保险基金年末滚存结余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二、城乡居民基本养老保险基金本年收支结余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ind w:firstLineChars="100" w:firstLine="220"/>
              <w:jc w:val="left"/>
              <w:rPr>
                <w:rFonts w:ascii="宋体" w:hAnsi="宋体" w:cs="宋体" w:hint="eastAsia"/>
                <w:color w:val="000000"/>
                <w:kern w:val="0"/>
                <w:sz w:val="22"/>
              </w:rPr>
            </w:pPr>
            <w:r>
              <w:rPr>
                <w:rFonts w:ascii="宋体" w:hAnsi="宋体" w:cs="宋体" w:hint="eastAsia"/>
                <w:color w:val="000000"/>
                <w:kern w:val="0"/>
                <w:sz w:val="22"/>
              </w:rPr>
              <w:t>城乡居民基本养老保险基金年末滚存结余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三、机关事业单位基本养老保险基金本年收支结余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机关事业单位基本养老保险基金年末滚存结余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四、职工基本医疗保险基金本年收支结余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职工基本医疗保险基金年末滚存结余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五、城乡居民基本医疗保险基金本年收支结余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color w:val="000000"/>
                <w:kern w:val="0"/>
                <w:sz w:val="22"/>
              </w:rPr>
            </w:pPr>
            <w:r>
              <w:rPr>
                <w:rFonts w:ascii="宋体" w:hAnsi="宋体" w:cs="宋体" w:hint="eastAsia"/>
                <w:color w:val="000000"/>
                <w:kern w:val="0"/>
                <w:sz w:val="22"/>
              </w:rPr>
              <w:t xml:space="preserve">  城乡居民基本医疗保险基金年末滚存结余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六、失业保险基金本年收支结余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ind w:firstLineChars="100" w:firstLine="220"/>
              <w:jc w:val="left"/>
              <w:rPr>
                <w:rFonts w:ascii="宋体" w:hAnsi="宋体" w:cs="宋体" w:hint="eastAsia"/>
                <w:color w:val="000000"/>
                <w:kern w:val="0"/>
                <w:sz w:val="22"/>
              </w:rPr>
            </w:pPr>
            <w:r>
              <w:rPr>
                <w:rFonts w:ascii="宋体" w:hAnsi="宋体" w:cs="宋体" w:hint="eastAsia"/>
                <w:color w:val="000000"/>
                <w:kern w:val="0"/>
                <w:sz w:val="22"/>
              </w:rPr>
              <w:t xml:space="preserve">   失业保险基金年末滚存结余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jc w:val="left"/>
              <w:rPr>
                <w:rFonts w:ascii="宋体" w:hAnsi="宋体" w:cs="宋体" w:hint="eastAsia"/>
                <w:b/>
                <w:bCs/>
                <w:color w:val="000000"/>
                <w:kern w:val="0"/>
                <w:sz w:val="22"/>
              </w:rPr>
            </w:pPr>
            <w:r>
              <w:rPr>
                <w:rFonts w:ascii="宋体" w:hAnsi="宋体" w:cs="宋体" w:hint="eastAsia"/>
                <w:b/>
                <w:bCs/>
                <w:color w:val="000000"/>
                <w:kern w:val="0"/>
                <w:sz w:val="22"/>
              </w:rPr>
              <w:t>七、工伤保险基金本年收支结余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ind w:firstLineChars="200" w:firstLine="440"/>
              <w:jc w:val="left"/>
              <w:rPr>
                <w:rFonts w:ascii="宋体" w:hAnsi="宋体" w:cs="宋体" w:hint="eastAsia"/>
                <w:color w:val="000000"/>
                <w:kern w:val="0"/>
                <w:sz w:val="22"/>
              </w:rPr>
            </w:pPr>
            <w:r>
              <w:rPr>
                <w:rFonts w:ascii="宋体" w:hAnsi="宋体" w:cs="宋体" w:hint="eastAsia"/>
                <w:color w:val="000000"/>
                <w:kern w:val="0"/>
                <w:sz w:val="22"/>
              </w:rPr>
              <w:t>工伤保险基金年末滚存结余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ind w:firstLineChars="100" w:firstLine="220"/>
              <w:jc w:val="left"/>
              <w:rPr>
                <w:rFonts w:ascii="宋体" w:hAnsi="宋体" w:cs="宋体" w:hint="eastAsia"/>
                <w:color w:val="000000"/>
                <w:kern w:val="0"/>
                <w:sz w:val="22"/>
              </w:rPr>
            </w:pPr>
            <w:r>
              <w:rPr>
                <w:rFonts w:ascii="宋体" w:hAnsi="宋体" w:cs="宋体" w:hint="eastAsia"/>
                <w:color w:val="000000"/>
                <w:kern w:val="0"/>
                <w:sz w:val="22"/>
              </w:rPr>
              <w:lastRenderedPageBreak/>
              <w:t xml:space="preserve">   </w:t>
            </w:r>
            <w:r>
              <w:rPr>
                <w:rFonts w:ascii="宋体" w:hAnsi="宋体" w:cs="宋体" w:hint="eastAsia"/>
                <w:b/>
                <w:bCs/>
                <w:color w:val="000000"/>
                <w:kern w:val="0"/>
                <w:sz w:val="22"/>
              </w:rPr>
              <w:t>社会保险基金本年收支结余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b/>
                <w:bCs/>
                <w:color w:val="000000"/>
                <w:kern w:val="0"/>
                <w:sz w:val="22"/>
              </w:rPr>
            </w:pPr>
            <w:r>
              <w:rPr>
                <w:rFonts w:ascii="宋体" w:hAnsi="宋体" w:cs="宋体" w:hint="eastAsia"/>
                <w:b/>
                <w:bCs/>
                <w:color w:val="000000"/>
                <w:kern w:val="0"/>
                <w:sz w:val="22"/>
              </w:rPr>
              <w:t xml:space="preserve">　</w:t>
            </w:r>
          </w:p>
        </w:tc>
      </w:tr>
      <w:tr w:rsidR="00BF0D98">
        <w:trPr>
          <w:trHeight w:val="397"/>
        </w:trPr>
        <w:tc>
          <w:tcPr>
            <w:tcW w:w="6629" w:type="dxa"/>
            <w:tcBorders>
              <w:top w:val="nil"/>
              <w:left w:val="single" w:sz="4" w:space="0" w:color="auto"/>
              <w:bottom w:val="single" w:sz="4" w:space="0" w:color="auto"/>
              <w:right w:val="single" w:sz="4" w:space="0" w:color="auto"/>
            </w:tcBorders>
            <w:vAlign w:val="center"/>
          </w:tcPr>
          <w:p w:rsidR="00BF0D98" w:rsidRDefault="00000000">
            <w:pPr>
              <w:widowControl/>
              <w:adjustRightInd w:val="0"/>
              <w:snapToGrid w:val="0"/>
              <w:ind w:firstLineChars="100" w:firstLine="220"/>
              <w:jc w:val="left"/>
              <w:rPr>
                <w:rFonts w:ascii="宋体" w:hAnsi="宋体" w:cs="宋体" w:hint="eastAsia"/>
                <w:color w:val="000000"/>
                <w:kern w:val="0"/>
                <w:sz w:val="22"/>
              </w:rPr>
            </w:pPr>
            <w:r>
              <w:rPr>
                <w:rFonts w:ascii="宋体" w:hAnsi="宋体" w:cs="宋体" w:hint="eastAsia"/>
                <w:color w:val="000000"/>
                <w:kern w:val="0"/>
                <w:sz w:val="22"/>
              </w:rPr>
              <w:t xml:space="preserve">   </w:t>
            </w:r>
            <w:r>
              <w:rPr>
                <w:rFonts w:ascii="宋体" w:hAnsi="宋体" w:cs="宋体" w:hint="eastAsia"/>
                <w:b/>
                <w:bCs/>
                <w:color w:val="000000"/>
                <w:kern w:val="0"/>
                <w:sz w:val="22"/>
              </w:rPr>
              <w:t>社会保险基金年末滚存结余</w:t>
            </w:r>
          </w:p>
        </w:tc>
        <w:tc>
          <w:tcPr>
            <w:tcW w:w="1134"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01" w:type="dxa"/>
            <w:tcBorders>
              <w:top w:val="nil"/>
              <w:left w:val="nil"/>
              <w:bottom w:val="single" w:sz="4" w:space="0" w:color="auto"/>
              <w:right w:val="single" w:sz="4" w:space="0" w:color="auto"/>
            </w:tcBorders>
            <w:vAlign w:val="center"/>
          </w:tcPr>
          <w:p w:rsidR="00BF0D98" w:rsidRDefault="00000000">
            <w:pPr>
              <w:widowControl/>
              <w:adjustRightInd w:val="0"/>
              <w:snapToGrid w:val="0"/>
              <w:jc w:val="right"/>
              <w:rPr>
                <w:rFonts w:ascii="宋体" w:hAnsi="宋体" w:cs="宋体" w:hint="eastAsia"/>
                <w:color w:val="000000"/>
                <w:kern w:val="0"/>
                <w:sz w:val="22"/>
              </w:rPr>
            </w:pPr>
            <w:r>
              <w:rPr>
                <w:rFonts w:ascii="宋体" w:hAnsi="宋体" w:cs="宋体" w:hint="eastAsia"/>
                <w:color w:val="000000"/>
                <w:kern w:val="0"/>
                <w:sz w:val="22"/>
              </w:rPr>
              <w:t xml:space="preserve">　</w:t>
            </w:r>
          </w:p>
        </w:tc>
      </w:tr>
    </w:tbl>
    <w:p w:rsidR="00BF0D98" w:rsidRDefault="00000000">
      <w:pPr>
        <w:widowControl/>
        <w:jc w:val="left"/>
        <w:rPr>
          <w:rFonts w:ascii="Times New Roman" w:eastAsia="方正小标宋_GBK" w:hAnsi="Times New Roman"/>
          <w:sz w:val="32"/>
        </w:rPr>
      </w:pPr>
      <w:r>
        <w:rPr>
          <w:rFonts w:ascii="方正楷体_GBK" w:eastAsia="方正楷体_GBK" w:hAnsi="Times New Roman" w:hint="eastAsia"/>
          <w:sz w:val="24"/>
          <w:szCs w:val="24"/>
        </w:rPr>
        <w:t>注：社会保险基金实行全市统筹的体制，重庆高新区无。</w:t>
      </w:r>
    </w:p>
    <w:p w:rsidR="00BF0D98" w:rsidRDefault="00000000">
      <w:pPr>
        <w:widowControl/>
        <w:jc w:val="left"/>
        <w:rPr>
          <w:rFonts w:ascii="Times New Roman" w:eastAsia="方正小标宋_GBK" w:hAnsi="Times New Roman"/>
          <w:sz w:val="32"/>
        </w:rPr>
      </w:pPr>
      <w:r>
        <w:rPr>
          <w:rFonts w:ascii="Times New Roman" w:eastAsia="方正小标宋_GBK" w:hAnsi="Times New Roman"/>
          <w:sz w:val="32"/>
        </w:rPr>
        <w:br w:type="page"/>
      </w:r>
    </w:p>
    <w:p w:rsidR="00BF0D98" w:rsidRDefault="00000000">
      <w:pPr>
        <w:widowControl/>
        <w:jc w:val="left"/>
        <w:rPr>
          <w:rFonts w:ascii="Times New Roman" w:eastAsia="方正小标宋_GBK" w:hAnsi="Times New Roman"/>
          <w:sz w:val="32"/>
        </w:rPr>
      </w:pPr>
      <w:r>
        <w:rPr>
          <w:rFonts w:ascii="Times New Roman" w:eastAsia="方正小标宋_GBK" w:hAnsi="Times New Roman"/>
          <w:sz w:val="32"/>
        </w:rPr>
        <w:lastRenderedPageBreak/>
        <w:t>表</w:t>
      </w:r>
      <w:r>
        <w:rPr>
          <w:rFonts w:ascii="Times New Roman" w:eastAsia="方正小标宋_GBK" w:hAnsi="Times New Roman" w:hint="eastAsia"/>
          <w:sz w:val="32"/>
        </w:rPr>
        <w:t>18</w:t>
      </w:r>
    </w:p>
    <w:tbl>
      <w:tblPr>
        <w:tblW w:w="13183" w:type="dxa"/>
        <w:tblLook w:val="04A0" w:firstRow="1" w:lastRow="0" w:firstColumn="1" w:lastColumn="0" w:noHBand="0" w:noVBand="1"/>
      </w:tblPr>
      <w:tblGrid>
        <w:gridCol w:w="7230"/>
        <w:gridCol w:w="2268"/>
        <w:gridCol w:w="1984"/>
        <w:gridCol w:w="1701"/>
      </w:tblGrid>
      <w:tr w:rsidR="00BF0D98">
        <w:trPr>
          <w:trHeight w:val="480"/>
        </w:trPr>
        <w:tc>
          <w:tcPr>
            <w:tcW w:w="13183" w:type="dxa"/>
            <w:gridSpan w:val="4"/>
            <w:tcBorders>
              <w:top w:val="nil"/>
              <w:left w:val="nil"/>
              <w:bottom w:val="nil"/>
              <w:right w:val="nil"/>
            </w:tcBorders>
            <w:noWrap/>
            <w:vAlign w:val="center"/>
          </w:tcPr>
          <w:p w:rsidR="00BF0D98" w:rsidRDefault="00000000">
            <w:pPr>
              <w:widowControl/>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2024</w:t>
            </w:r>
            <w:r>
              <w:rPr>
                <w:rFonts w:ascii="Times New Roman" w:eastAsia="方正小标宋_GBK" w:hAnsi="Times New Roman"/>
                <w:kern w:val="0"/>
                <w:sz w:val="36"/>
                <w:szCs w:val="36"/>
              </w:rPr>
              <w:t>年</w:t>
            </w:r>
            <w:r>
              <w:rPr>
                <w:rFonts w:ascii="Times New Roman" w:eastAsia="方正小标宋_GBK" w:hAnsi="Times New Roman"/>
                <w:kern w:val="0"/>
                <w:sz w:val="36"/>
                <w:szCs w:val="36"/>
              </w:rPr>
              <w:t>“</w:t>
            </w:r>
            <w:r>
              <w:rPr>
                <w:rFonts w:ascii="Times New Roman" w:eastAsia="方正小标宋_GBK" w:hAnsi="Times New Roman"/>
                <w:kern w:val="0"/>
                <w:sz w:val="36"/>
                <w:szCs w:val="36"/>
              </w:rPr>
              <w:t>三公</w:t>
            </w:r>
            <w:r>
              <w:rPr>
                <w:rFonts w:ascii="Times New Roman" w:eastAsia="方正小标宋_GBK" w:hAnsi="Times New Roman"/>
                <w:kern w:val="0"/>
                <w:sz w:val="36"/>
                <w:szCs w:val="36"/>
              </w:rPr>
              <w:t>”</w:t>
            </w:r>
            <w:r>
              <w:rPr>
                <w:rFonts w:ascii="Times New Roman" w:eastAsia="方正小标宋_GBK" w:hAnsi="Times New Roman"/>
                <w:kern w:val="0"/>
                <w:sz w:val="36"/>
                <w:szCs w:val="36"/>
              </w:rPr>
              <w:t>经费</w:t>
            </w:r>
            <w:r>
              <w:rPr>
                <w:rFonts w:ascii="Times New Roman" w:eastAsia="方正小标宋_GBK" w:hAnsi="Times New Roman" w:hint="eastAsia"/>
                <w:kern w:val="0"/>
                <w:sz w:val="36"/>
                <w:szCs w:val="36"/>
              </w:rPr>
              <w:t>决算</w:t>
            </w:r>
            <w:r>
              <w:rPr>
                <w:rFonts w:ascii="Times New Roman" w:eastAsia="方正小标宋_GBK" w:hAnsi="Times New Roman"/>
                <w:kern w:val="0"/>
                <w:sz w:val="36"/>
                <w:szCs w:val="36"/>
              </w:rPr>
              <w:t>表</w:t>
            </w:r>
          </w:p>
        </w:tc>
      </w:tr>
      <w:tr w:rsidR="00BF0D98">
        <w:trPr>
          <w:trHeight w:val="324"/>
        </w:trPr>
        <w:tc>
          <w:tcPr>
            <w:tcW w:w="7230" w:type="dxa"/>
            <w:tcBorders>
              <w:top w:val="nil"/>
              <w:left w:val="nil"/>
              <w:bottom w:val="nil"/>
              <w:right w:val="nil"/>
            </w:tcBorders>
            <w:noWrap/>
            <w:vAlign w:val="center"/>
          </w:tcPr>
          <w:p w:rsidR="00BF0D98" w:rsidRDefault="00BF0D98">
            <w:pPr>
              <w:widowControl/>
              <w:jc w:val="center"/>
              <w:rPr>
                <w:rFonts w:ascii="Times New Roman" w:eastAsia="方正小标宋_GBK" w:hAnsi="Times New Roman"/>
                <w:kern w:val="0"/>
                <w:sz w:val="36"/>
                <w:szCs w:val="36"/>
              </w:rPr>
            </w:pPr>
          </w:p>
        </w:tc>
        <w:tc>
          <w:tcPr>
            <w:tcW w:w="2268" w:type="dxa"/>
            <w:tcBorders>
              <w:top w:val="nil"/>
              <w:left w:val="nil"/>
              <w:bottom w:val="nil"/>
              <w:right w:val="nil"/>
            </w:tcBorders>
            <w:noWrap/>
            <w:vAlign w:val="center"/>
          </w:tcPr>
          <w:p w:rsidR="00BF0D98" w:rsidRDefault="00BF0D98">
            <w:pPr>
              <w:widowControl/>
              <w:jc w:val="left"/>
              <w:rPr>
                <w:rFonts w:ascii="Times New Roman" w:eastAsia="Times New Roman" w:hAnsi="Times New Roman"/>
                <w:kern w:val="0"/>
                <w:sz w:val="20"/>
                <w:szCs w:val="20"/>
              </w:rPr>
            </w:pPr>
          </w:p>
        </w:tc>
        <w:tc>
          <w:tcPr>
            <w:tcW w:w="1984" w:type="dxa"/>
            <w:tcBorders>
              <w:top w:val="nil"/>
              <w:left w:val="nil"/>
              <w:bottom w:val="nil"/>
              <w:right w:val="nil"/>
            </w:tcBorders>
            <w:noWrap/>
            <w:vAlign w:val="center"/>
          </w:tcPr>
          <w:p w:rsidR="00BF0D98" w:rsidRDefault="00BF0D98">
            <w:pPr>
              <w:widowControl/>
              <w:jc w:val="left"/>
              <w:rPr>
                <w:rFonts w:ascii="Times New Roman" w:eastAsia="Times New Roman" w:hAnsi="Times New Roman"/>
                <w:kern w:val="0"/>
                <w:sz w:val="20"/>
                <w:szCs w:val="20"/>
              </w:rPr>
            </w:pPr>
          </w:p>
        </w:tc>
        <w:tc>
          <w:tcPr>
            <w:tcW w:w="1701" w:type="dxa"/>
            <w:tcBorders>
              <w:top w:val="nil"/>
              <w:left w:val="nil"/>
              <w:bottom w:val="nil"/>
              <w:right w:val="nil"/>
            </w:tcBorders>
            <w:noWrap/>
            <w:vAlign w:val="bottom"/>
          </w:tcPr>
          <w:p w:rsidR="00BF0D98" w:rsidRDefault="00000000">
            <w:pPr>
              <w:widowControl/>
              <w:jc w:val="right"/>
              <w:rPr>
                <w:rFonts w:ascii="Times New Roman" w:eastAsia="方正楷体_GBK" w:hAnsi="Times New Roman"/>
                <w:kern w:val="0"/>
                <w:sz w:val="24"/>
                <w:szCs w:val="24"/>
              </w:rPr>
            </w:pPr>
            <w:r>
              <w:rPr>
                <w:rFonts w:ascii="Times New Roman" w:eastAsia="方正楷体_GBK" w:hAnsi="Times New Roman"/>
                <w:kern w:val="0"/>
                <w:sz w:val="24"/>
                <w:szCs w:val="24"/>
              </w:rPr>
              <w:t>单位：万元</w:t>
            </w:r>
          </w:p>
        </w:tc>
      </w:tr>
      <w:tr w:rsidR="00BF0D98">
        <w:trPr>
          <w:trHeight w:val="324"/>
        </w:trPr>
        <w:tc>
          <w:tcPr>
            <w:tcW w:w="7230"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项</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目</w:t>
            </w:r>
          </w:p>
        </w:tc>
        <w:tc>
          <w:tcPr>
            <w:tcW w:w="2268"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2024</w:t>
            </w:r>
            <w:r>
              <w:rPr>
                <w:rFonts w:ascii="Times New Roman" w:eastAsia="方正黑体_GBK" w:hAnsi="Times New Roman"/>
                <w:kern w:val="0"/>
                <w:sz w:val="24"/>
                <w:szCs w:val="24"/>
              </w:rPr>
              <w:t>年决算数</w:t>
            </w:r>
          </w:p>
        </w:tc>
        <w:tc>
          <w:tcPr>
            <w:tcW w:w="1984"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2023</w:t>
            </w:r>
            <w:r>
              <w:rPr>
                <w:rFonts w:ascii="Times New Roman" w:eastAsia="方正黑体_GBK" w:hAnsi="Times New Roman"/>
                <w:kern w:val="0"/>
                <w:sz w:val="24"/>
                <w:szCs w:val="24"/>
              </w:rPr>
              <w:t>年决算数</w:t>
            </w:r>
          </w:p>
        </w:tc>
        <w:tc>
          <w:tcPr>
            <w:tcW w:w="1701"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较</w:t>
            </w:r>
            <w:r>
              <w:rPr>
                <w:rFonts w:ascii="Times New Roman" w:eastAsia="方正黑体_GBK" w:hAnsi="Times New Roman"/>
                <w:kern w:val="0"/>
                <w:sz w:val="24"/>
                <w:szCs w:val="24"/>
              </w:rPr>
              <w:t>2023</w:t>
            </w:r>
            <w:r>
              <w:rPr>
                <w:rFonts w:ascii="Times New Roman" w:eastAsia="方正黑体_GBK" w:hAnsi="Times New Roman"/>
                <w:kern w:val="0"/>
                <w:sz w:val="24"/>
                <w:szCs w:val="24"/>
              </w:rPr>
              <w:t>年</w:t>
            </w:r>
            <w:r>
              <w:rPr>
                <w:rFonts w:ascii="Times New Roman" w:eastAsia="方正黑体_GBK" w:hAnsi="Times New Roman"/>
                <w:kern w:val="0"/>
                <w:sz w:val="24"/>
                <w:szCs w:val="24"/>
              </w:rPr>
              <w:t>±%</w:t>
            </w:r>
          </w:p>
        </w:tc>
      </w:tr>
      <w:tr w:rsidR="00BF0D98">
        <w:trPr>
          <w:trHeight w:val="324"/>
        </w:trPr>
        <w:tc>
          <w:tcPr>
            <w:tcW w:w="7230"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宋体" w:hAnsi="宋体" w:hint="eastAsia"/>
                <w:b/>
                <w:bCs/>
                <w:kern w:val="0"/>
                <w:sz w:val="24"/>
                <w:szCs w:val="24"/>
              </w:rPr>
            </w:pPr>
            <w:r>
              <w:rPr>
                <w:rFonts w:ascii="宋体" w:hAnsi="宋体"/>
                <w:b/>
                <w:bCs/>
                <w:kern w:val="0"/>
                <w:sz w:val="24"/>
                <w:szCs w:val="24"/>
              </w:rPr>
              <w:t xml:space="preserve">合    计 </w:t>
            </w:r>
          </w:p>
        </w:tc>
        <w:tc>
          <w:tcPr>
            <w:tcW w:w="2268"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kern w:val="0"/>
                <w:sz w:val="24"/>
                <w:szCs w:val="24"/>
              </w:rPr>
            </w:pPr>
            <w:r>
              <w:rPr>
                <w:rFonts w:ascii="Times New Roman" w:eastAsia="方正仿宋_GBK" w:hAnsi="Times New Roman"/>
                <w:b/>
                <w:bCs/>
                <w:kern w:val="0"/>
                <w:sz w:val="24"/>
                <w:szCs w:val="24"/>
              </w:rPr>
              <w:t>801</w:t>
            </w:r>
          </w:p>
        </w:tc>
        <w:tc>
          <w:tcPr>
            <w:tcW w:w="198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kern w:val="0"/>
                <w:sz w:val="24"/>
                <w:szCs w:val="24"/>
              </w:rPr>
            </w:pPr>
            <w:r>
              <w:rPr>
                <w:rFonts w:ascii="Times New Roman" w:eastAsia="方正仿宋_GBK" w:hAnsi="Times New Roman"/>
                <w:b/>
                <w:bCs/>
                <w:kern w:val="0"/>
                <w:sz w:val="24"/>
                <w:szCs w:val="24"/>
              </w:rPr>
              <w:t>1,044</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color w:val="000000"/>
                <w:kern w:val="0"/>
                <w:sz w:val="24"/>
                <w:szCs w:val="24"/>
              </w:rPr>
            </w:pPr>
            <w:r>
              <w:rPr>
                <w:rFonts w:ascii="Times New Roman" w:eastAsia="方正仿宋_GBK" w:hAnsi="Times New Roman"/>
                <w:b/>
                <w:bCs/>
                <w:color w:val="000000"/>
                <w:kern w:val="0"/>
                <w:sz w:val="24"/>
                <w:szCs w:val="24"/>
              </w:rPr>
              <w:t xml:space="preserve">-23.3 </w:t>
            </w:r>
          </w:p>
        </w:tc>
      </w:tr>
      <w:tr w:rsidR="00BF0D98">
        <w:trPr>
          <w:trHeight w:val="324"/>
        </w:trPr>
        <w:tc>
          <w:tcPr>
            <w:tcW w:w="7230"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hint="eastAsia"/>
                <w:kern w:val="0"/>
                <w:sz w:val="24"/>
                <w:szCs w:val="24"/>
              </w:rPr>
            </w:pPr>
            <w:r>
              <w:rPr>
                <w:rFonts w:ascii="宋体" w:hAnsi="宋体"/>
                <w:kern w:val="0"/>
                <w:sz w:val="24"/>
                <w:szCs w:val="24"/>
              </w:rPr>
              <w:t>1、因公出国（境）费用</w:t>
            </w:r>
          </w:p>
        </w:tc>
        <w:tc>
          <w:tcPr>
            <w:tcW w:w="2268"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26</w:t>
            </w:r>
          </w:p>
        </w:tc>
        <w:tc>
          <w:tcPr>
            <w:tcW w:w="198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56</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color w:val="000000"/>
                <w:kern w:val="0"/>
                <w:sz w:val="24"/>
                <w:szCs w:val="24"/>
              </w:rPr>
            </w:pPr>
            <w:r>
              <w:rPr>
                <w:rFonts w:ascii="Times New Roman" w:eastAsia="方正仿宋_GBK" w:hAnsi="Times New Roman"/>
                <w:b/>
                <w:bCs/>
                <w:color w:val="000000"/>
                <w:kern w:val="0"/>
                <w:sz w:val="24"/>
                <w:szCs w:val="24"/>
              </w:rPr>
              <w:t xml:space="preserve">-53.6 </w:t>
            </w:r>
          </w:p>
        </w:tc>
      </w:tr>
      <w:tr w:rsidR="00BF0D98">
        <w:trPr>
          <w:trHeight w:val="324"/>
        </w:trPr>
        <w:tc>
          <w:tcPr>
            <w:tcW w:w="7230"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hint="eastAsia"/>
                <w:kern w:val="0"/>
                <w:sz w:val="24"/>
                <w:szCs w:val="24"/>
              </w:rPr>
            </w:pPr>
            <w:r>
              <w:rPr>
                <w:rFonts w:ascii="宋体" w:hAnsi="宋体"/>
                <w:kern w:val="0"/>
                <w:sz w:val="24"/>
                <w:szCs w:val="24"/>
              </w:rPr>
              <w:t>2、公务接待费</w:t>
            </w:r>
          </w:p>
        </w:tc>
        <w:tc>
          <w:tcPr>
            <w:tcW w:w="2268"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29</w:t>
            </w:r>
          </w:p>
        </w:tc>
        <w:tc>
          <w:tcPr>
            <w:tcW w:w="198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44</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color w:val="000000"/>
                <w:kern w:val="0"/>
                <w:sz w:val="24"/>
                <w:szCs w:val="24"/>
              </w:rPr>
            </w:pPr>
            <w:r>
              <w:rPr>
                <w:rFonts w:ascii="Times New Roman" w:eastAsia="方正仿宋_GBK" w:hAnsi="Times New Roman"/>
                <w:b/>
                <w:bCs/>
                <w:color w:val="000000"/>
                <w:kern w:val="0"/>
                <w:sz w:val="24"/>
                <w:szCs w:val="24"/>
              </w:rPr>
              <w:t xml:space="preserve">-34.1 </w:t>
            </w:r>
          </w:p>
        </w:tc>
      </w:tr>
      <w:tr w:rsidR="00BF0D98">
        <w:trPr>
          <w:trHeight w:val="324"/>
        </w:trPr>
        <w:tc>
          <w:tcPr>
            <w:tcW w:w="7230" w:type="dxa"/>
            <w:tcBorders>
              <w:top w:val="nil"/>
              <w:left w:val="single" w:sz="4" w:space="0" w:color="auto"/>
              <w:bottom w:val="single" w:sz="4" w:space="0" w:color="auto"/>
              <w:right w:val="single" w:sz="4" w:space="0" w:color="auto"/>
            </w:tcBorders>
            <w:noWrap/>
            <w:vAlign w:val="center"/>
          </w:tcPr>
          <w:p w:rsidR="00BF0D98" w:rsidRDefault="00000000">
            <w:pPr>
              <w:widowControl/>
              <w:jc w:val="left"/>
              <w:rPr>
                <w:rFonts w:ascii="宋体" w:hAnsi="宋体" w:hint="eastAsia"/>
                <w:kern w:val="0"/>
                <w:sz w:val="24"/>
                <w:szCs w:val="24"/>
              </w:rPr>
            </w:pPr>
            <w:r>
              <w:rPr>
                <w:rFonts w:ascii="宋体" w:hAnsi="宋体"/>
                <w:kern w:val="0"/>
                <w:sz w:val="24"/>
                <w:szCs w:val="24"/>
              </w:rPr>
              <w:t>3、公务用车购置及运行维护费</w:t>
            </w:r>
          </w:p>
        </w:tc>
        <w:tc>
          <w:tcPr>
            <w:tcW w:w="2268"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746</w:t>
            </w:r>
          </w:p>
        </w:tc>
        <w:tc>
          <w:tcPr>
            <w:tcW w:w="198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944</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color w:val="000000"/>
                <w:kern w:val="0"/>
                <w:sz w:val="24"/>
                <w:szCs w:val="24"/>
              </w:rPr>
            </w:pPr>
            <w:r>
              <w:rPr>
                <w:rFonts w:ascii="Times New Roman" w:eastAsia="方正仿宋_GBK" w:hAnsi="Times New Roman"/>
                <w:b/>
                <w:bCs/>
                <w:color w:val="000000"/>
                <w:kern w:val="0"/>
                <w:sz w:val="24"/>
                <w:szCs w:val="24"/>
              </w:rPr>
              <w:t xml:space="preserve">-21.0 </w:t>
            </w:r>
          </w:p>
        </w:tc>
      </w:tr>
      <w:tr w:rsidR="00BF0D98">
        <w:trPr>
          <w:trHeight w:val="324"/>
        </w:trPr>
        <w:tc>
          <w:tcPr>
            <w:tcW w:w="7230" w:type="dxa"/>
            <w:tcBorders>
              <w:top w:val="nil"/>
              <w:left w:val="single" w:sz="4" w:space="0" w:color="auto"/>
              <w:bottom w:val="single" w:sz="4" w:space="0" w:color="auto"/>
              <w:right w:val="single" w:sz="4" w:space="0" w:color="auto"/>
            </w:tcBorders>
            <w:vAlign w:val="center"/>
          </w:tcPr>
          <w:p w:rsidR="00BF0D98" w:rsidRDefault="00000000">
            <w:pPr>
              <w:widowControl/>
              <w:ind w:firstLineChars="100" w:firstLine="240"/>
              <w:jc w:val="left"/>
              <w:rPr>
                <w:rFonts w:ascii="宋体" w:hAnsi="宋体" w:hint="eastAsia"/>
                <w:kern w:val="0"/>
                <w:sz w:val="24"/>
                <w:szCs w:val="24"/>
              </w:rPr>
            </w:pPr>
            <w:r>
              <w:rPr>
                <w:rFonts w:ascii="宋体" w:hAnsi="宋体"/>
                <w:kern w:val="0"/>
                <w:sz w:val="24"/>
                <w:szCs w:val="24"/>
              </w:rPr>
              <w:t>其中：（1）公务用车运行维护费</w:t>
            </w:r>
          </w:p>
        </w:tc>
        <w:tc>
          <w:tcPr>
            <w:tcW w:w="2268"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584</w:t>
            </w:r>
          </w:p>
        </w:tc>
        <w:tc>
          <w:tcPr>
            <w:tcW w:w="198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673</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color w:val="000000"/>
                <w:kern w:val="0"/>
                <w:sz w:val="24"/>
                <w:szCs w:val="24"/>
              </w:rPr>
            </w:pPr>
            <w:r>
              <w:rPr>
                <w:rFonts w:ascii="Times New Roman" w:eastAsia="方正仿宋_GBK" w:hAnsi="Times New Roman"/>
                <w:b/>
                <w:bCs/>
                <w:color w:val="000000"/>
                <w:kern w:val="0"/>
                <w:sz w:val="24"/>
                <w:szCs w:val="24"/>
              </w:rPr>
              <w:t xml:space="preserve">-13.2 </w:t>
            </w:r>
          </w:p>
        </w:tc>
      </w:tr>
      <w:tr w:rsidR="00BF0D98">
        <w:trPr>
          <w:trHeight w:val="324"/>
        </w:trPr>
        <w:tc>
          <w:tcPr>
            <w:tcW w:w="7230"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hint="eastAsia"/>
                <w:kern w:val="0"/>
                <w:sz w:val="24"/>
                <w:szCs w:val="24"/>
              </w:rPr>
            </w:pPr>
            <w:r>
              <w:rPr>
                <w:rFonts w:ascii="宋体" w:hAnsi="宋体"/>
                <w:kern w:val="0"/>
                <w:sz w:val="24"/>
                <w:szCs w:val="24"/>
              </w:rPr>
              <w:t xml:space="preserve">        （2）公务用车购置费</w:t>
            </w:r>
          </w:p>
        </w:tc>
        <w:tc>
          <w:tcPr>
            <w:tcW w:w="2268"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162</w:t>
            </w:r>
          </w:p>
        </w:tc>
        <w:tc>
          <w:tcPr>
            <w:tcW w:w="198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kern w:val="0"/>
                <w:sz w:val="24"/>
                <w:szCs w:val="24"/>
              </w:rPr>
            </w:pPr>
            <w:r>
              <w:rPr>
                <w:rFonts w:ascii="Times New Roman" w:eastAsia="方正仿宋_GBK" w:hAnsi="Times New Roman"/>
                <w:kern w:val="0"/>
                <w:sz w:val="24"/>
                <w:szCs w:val="24"/>
              </w:rPr>
              <w:t>271</w:t>
            </w:r>
          </w:p>
        </w:tc>
        <w:tc>
          <w:tcPr>
            <w:tcW w:w="1701"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方正仿宋_GBK" w:hAnsi="Times New Roman"/>
                <w:b/>
                <w:bCs/>
                <w:color w:val="000000"/>
                <w:kern w:val="0"/>
                <w:sz w:val="24"/>
                <w:szCs w:val="24"/>
              </w:rPr>
            </w:pPr>
            <w:r>
              <w:rPr>
                <w:rFonts w:ascii="Times New Roman" w:eastAsia="方正仿宋_GBK" w:hAnsi="Times New Roman"/>
                <w:b/>
                <w:bCs/>
                <w:color w:val="000000"/>
                <w:kern w:val="0"/>
                <w:sz w:val="24"/>
                <w:szCs w:val="24"/>
              </w:rPr>
              <w:t xml:space="preserve">-40.2 </w:t>
            </w:r>
          </w:p>
        </w:tc>
      </w:tr>
    </w:tbl>
    <w:p w:rsidR="00BF0D98" w:rsidRDefault="00BF0D98">
      <w:pPr>
        <w:spacing w:line="600" w:lineRule="exact"/>
        <w:ind w:firstLineChars="200" w:firstLine="640"/>
        <w:jc w:val="center"/>
        <w:rPr>
          <w:rFonts w:ascii="Times New Roman" w:eastAsia="方正小标宋_GBK" w:hAnsi="Times New Roman"/>
          <w:sz w:val="32"/>
        </w:rPr>
      </w:pPr>
    </w:p>
    <w:p w:rsidR="00BF0D98" w:rsidRDefault="00000000">
      <w:pPr>
        <w:widowControl/>
        <w:jc w:val="left"/>
        <w:rPr>
          <w:rFonts w:ascii="Times New Roman" w:eastAsia="方正小标宋_GBK" w:hAnsi="Times New Roman"/>
          <w:sz w:val="32"/>
        </w:rPr>
        <w:sectPr w:rsidR="00BF0D98">
          <w:pgSz w:w="16838" w:h="11906" w:orient="landscape"/>
          <w:pgMar w:top="1531" w:right="2098" w:bottom="1531" w:left="1985" w:header="851" w:footer="1417" w:gutter="0"/>
          <w:cols w:space="425"/>
          <w:docGrid w:type="lines" w:linePitch="435"/>
        </w:sectPr>
      </w:pPr>
      <w:r>
        <w:rPr>
          <w:rFonts w:ascii="Times New Roman" w:eastAsia="方正小标宋_GBK" w:hAnsi="Times New Roman"/>
          <w:sz w:val="32"/>
        </w:rPr>
        <w:br w:type="page"/>
      </w:r>
    </w:p>
    <w:p w:rsidR="00BF0D98" w:rsidRDefault="00000000">
      <w:pPr>
        <w:widowControl/>
        <w:ind w:leftChars="-177" w:left="194" w:hangingChars="177" w:hanging="566"/>
        <w:jc w:val="left"/>
        <w:rPr>
          <w:rFonts w:ascii="Times New Roman" w:eastAsia="方正小标宋_GBK" w:hAnsi="Times New Roman"/>
          <w:sz w:val="32"/>
        </w:rPr>
      </w:pPr>
      <w:r>
        <w:rPr>
          <w:rFonts w:ascii="Times New Roman" w:eastAsia="方正黑体_GBK" w:hAnsi="Times New Roman"/>
          <w:sz w:val="32"/>
        </w:rPr>
        <w:lastRenderedPageBreak/>
        <w:t>表</w:t>
      </w:r>
      <w:r>
        <w:rPr>
          <w:rFonts w:ascii="Times New Roman" w:eastAsia="方正黑体_GBK" w:hAnsi="Times New Roman" w:hint="eastAsia"/>
          <w:sz w:val="32"/>
        </w:rPr>
        <w:t>19</w:t>
      </w:r>
    </w:p>
    <w:tbl>
      <w:tblPr>
        <w:tblW w:w="9966" w:type="dxa"/>
        <w:tblInd w:w="-426" w:type="dxa"/>
        <w:tblLook w:val="04A0" w:firstRow="1" w:lastRow="0" w:firstColumn="1" w:lastColumn="0" w:noHBand="0" w:noVBand="1"/>
      </w:tblPr>
      <w:tblGrid>
        <w:gridCol w:w="1686"/>
        <w:gridCol w:w="1380"/>
        <w:gridCol w:w="1380"/>
        <w:gridCol w:w="1380"/>
        <w:gridCol w:w="1380"/>
        <w:gridCol w:w="1380"/>
        <w:gridCol w:w="1380"/>
      </w:tblGrid>
      <w:tr w:rsidR="00BF0D98">
        <w:trPr>
          <w:trHeight w:val="432"/>
        </w:trPr>
        <w:tc>
          <w:tcPr>
            <w:tcW w:w="9966" w:type="dxa"/>
            <w:gridSpan w:val="7"/>
            <w:tcBorders>
              <w:top w:val="nil"/>
              <w:left w:val="nil"/>
              <w:bottom w:val="nil"/>
              <w:right w:val="nil"/>
            </w:tcBorders>
            <w:vAlign w:val="center"/>
          </w:tcPr>
          <w:p w:rsidR="00BF0D98" w:rsidRDefault="00000000">
            <w:pPr>
              <w:widowControl/>
              <w:jc w:val="center"/>
              <w:rPr>
                <w:rFonts w:ascii="Times New Roman" w:eastAsia="方正小标宋_GBK" w:hAnsi="Times New Roman"/>
                <w:kern w:val="0"/>
                <w:sz w:val="32"/>
                <w:szCs w:val="32"/>
              </w:rPr>
            </w:pPr>
            <w:r>
              <w:rPr>
                <w:rFonts w:ascii="Times New Roman" w:eastAsia="方正小标宋_GBK" w:hAnsi="Times New Roman"/>
                <w:kern w:val="0"/>
                <w:sz w:val="36"/>
                <w:szCs w:val="36"/>
              </w:rPr>
              <w:t>2024</w:t>
            </w:r>
            <w:r>
              <w:rPr>
                <w:rFonts w:ascii="Times New Roman" w:eastAsia="方正小标宋_GBK" w:hAnsi="Times New Roman"/>
                <w:kern w:val="0"/>
                <w:sz w:val="36"/>
                <w:szCs w:val="36"/>
              </w:rPr>
              <w:t>年地方政府债务限额及余额情况表</w:t>
            </w:r>
          </w:p>
        </w:tc>
      </w:tr>
      <w:tr w:rsidR="00BF0D98">
        <w:trPr>
          <w:trHeight w:val="288"/>
        </w:trPr>
        <w:tc>
          <w:tcPr>
            <w:tcW w:w="1686" w:type="dxa"/>
            <w:tcBorders>
              <w:top w:val="nil"/>
              <w:left w:val="nil"/>
              <w:bottom w:val="single" w:sz="4" w:space="0" w:color="auto"/>
              <w:right w:val="nil"/>
            </w:tcBorders>
            <w:vAlign w:val="bottom"/>
          </w:tcPr>
          <w:p w:rsidR="00BF0D98" w:rsidRDefault="00BF0D98">
            <w:pPr>
              <w:widowControl/>
              <w:jc w:val="center"/>
              <w:rPr>
                <w:rFonts w:ascii="Times New Roman" w:eastAsia="方正小标宋_GBK" w:hAnsi="Times New Roman"/>
                <w:kern w:val="0"/>
                <w:sz w:val="32"/>
                <w:szCs w:val="32"/>
              </w:rPr>
            </w:pPr>
          </w:p>
        </w:tc>
        <w:tc>
          <w:tcPr>
            <w:tcW w:w="1380" w:type="dxa"/>
            <w:tcBorders>
              <w:top w:val="nil"/>
              <w:left w:val="nil"/>
              <w:bottom w:val="single" w:sz="4" w:space="0" w:color="auto"/>
              <w:right w:val="nil"/>
            </w:tcBorders>
            <w:vAlign w:val="bottom"/>
          </w:tcPr>
          <w:p w:rsidR="00BF0D98" w:rsidRDefault="00BF0D98">
            <w:pPr>
              <w:widowControl/>
              <w:jc w:val="left"/>
              <w:rPr>
                <w:rFonts w:ascii="Times New Roman" w:eastAsia="Times New Roman" w:hAnsi="Times New Roman"/>
                <w:kern w:val="0"/>
                <w:sz w:val="20"/>
                <w:szCs w:val="20"/>
              </w:rPr>
            </w:pPr>
          </w:p>
        </w:tc>
        <w:tc>
          <w:tcPr>
            <w:tcW w:w="1380" w:type="dxa"/>
            <w:tcBorders>
              <w:top w:val="nil"/>
              <w:left w:val="nil"/>
              <w:bottom w:val="single" w:sz="4" w:space="0" w:color="auto"/>
              <w:right w:val="nil"/>
            </w:tcBorders>
            <w:noWrap/>
            <w:vAlign w:val="bottom"/>
          </w:tcPr>
          <w:p w:rsidR="00BF0D98" w:rsidRDefault="00BF0D98">
            <w:pPr>
              <w:widowControl/>
              <w:jc w:val="left"/>
              <w:rPr>
                <w:rFonts w:ascii="Times New Roman" w:eastAsia="Times New Roman" w:hAnsi="Times New Roman"/>
                <w:kern w:val="0"/>
                <w:sz w:val="20"/>
                <w:szCs w:val="20"/>
              </w:rPr>
            </w:pPr>
          </w:p>
        </w:tc>
        <w:tc>
          <w:tcPr>
            <w:tcW w:w="1380" w:type="dxa"/>
            <w:tcBorders>
              <w:top w:val="nil"/>
              <w:left w:val="nil"/>
              <w:bottom w:val="single" w:sz="4" w:space="0" w:color="auto"/>
              <w:right w:val="nil"/>
            </w:tcBorders>
            <w:noWrap/>
            <w:vAlign w:val="bottom"/>
          </w:tcPr>
          <w:p w:rsidR="00BF0D98" w:rsidRDefault="00BF0D98">
            <w:pPr>
              <w:widowControl/>
              <w:jc w:val="left"/>
              <w:rPr>
                <w:rFonts w:ascii="Times New Roman" w:eastAsia="Times New Roman" w:hAnsi="Times New Roman"/>
                <w:kern w:val="0"/>
                <w:sz w:val="20"/>
                <w:szCs w:val="20"/>
              </w:rPr>
            </w:pPr>
          </w:p>
        </w:tc>
        <w:tc>
          <w:tcPr>
            <w:tcW w:w="1380" w:type="dxa"/>
            <w:tcBorders>
              <w:top w:val="nil"/>
              <w:left w:val="nil"/>
              <w:bottom w:val="single" w:sz="4" w:space="0" w:color="auto"/>
              <w:right w:val="nil"/>
            </w:tcBorders>
            <w:noWrap/>
            <w:vAlign w:val="bottom"/>
          </w:tcPr>
          <w:p w:rsidR="00BF0D98" w:rsidRDefault="00BF0D98">
            <w:pPr>
              <w:widowControl/>
              <w:jc w:val="left"/>
              <w:rPr>
                <w:rFonts w:ascii="Times New Roman" w:eastAsia="Times New Roman" w:hAnsi="Times New Roman"/>
                <w:kern w:val="0"/>
                <w:sz w:val="20"/>
                <w:szCs w:val="20"/>
              </w:rPr>
            </w:pPr>
          </w:p>
        </w:tc>
        <w:tc>
          <w:tcPr>
            <w:tcW w:w="2760" w:type="dxa"/>
            <w:gridSpan w:val="2"/>
            <w:tcBorders>
              <w:top w:val="nil"/>
              <w:left w:val="nil"/>
              <w:bottom w:val="single" w:sz="4" w:space="0" w:color="auto"/>
              <w:right w:val="nil"/>
            </w:tcBorders>
            <w:noWrap/>
            <w:vAlign w:val="bottom"/>
          </w:tcPr>
          <w:p w:rsidR="00BF0D98" w:rsidRDefault="00000000">
            <w:pPr>
              <w:widowControl/>
              <w:jc w:val="right"/>
              <w:rPr>
                <w:rFonts w:ascii="Times New Roman" w:eastAsia="方正楷体_GBK" w:hAnsi="Times New Roman"/>
                <w:kern w:val="0"/>
                <w:sz w:val="18"/>
                <w:szCs w:val="18"/>
              </w:rPr>
            </w:pPr>
            <w:r>
              <w:rPr>
                <w:rFonts w:ascii="Times New Roman" w:eastAsia="方正楷体_GBK" w:hAnsi="Times New Roman"/>
                <w:kern w:val="0"/>
                <w:sz w:val="24"/>
                <w:szCs w:val="24"/>
              </w:rPr>
              <w:t>单位：万元</w:t>
            </w:r>
          </w:p>
        </w:tc>
      </w:tr>
      <w:tr w:rsidR="00BF0D98">
        <w:trPr>
          <w:trHeight w:val="300"/>
        </w:trPr>
        <w:tc>
          <w:tcPr>
            <w:tcW w:w="1686" w:type="dxa"/>
            <w:vMerge w:val="restart"/>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地</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区</w:t>
            </w: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2024</w:t>
            </w:r>
            <w:r>
              <w:rPr>
                <w:rFonts w:ascii="Times New Roman" w:eastAsia="方正黑体_GBK" w:hAnsi="Times New Roman"/>
                <w:kern w:val="0"/>
                <w:sz w:val="24"/>
                <w:szCs w:val="24"/>
              </w:rPr>
              <w:t>年债务限额</w:t>
            </w: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2024</w:t>
            </w:r>
            <w:r>
              <w:rPr>
                <w:rFonts w:ascii="Times New Roman" w:eastAsia="方正黑体_GBK" w:hAnsi="Times New Roman"/>
                <w:kern w:val="0"/>
                <w:sz w:val="24"/>
                <w:szCs w:val="24"/>
              </w:rPr>
              <w:t>年债务余额</w:t>
            </w:r>
            <w:r>
              <w:rPr>
                <w:rFonts w:ascii="Times New Roman" w:eastAsia="方正黑体_GBK" w:hAnsi="Times New Roman" w:hint="eastAsia"/>
                <w:kern w:val="0"/>
                <w:sz w:val="24"/>
                <w:szCs w:val="24"/>
              </w:rPr>
              <w:t>决算</w:t>
            </w:r>
            <w:r>
              <w:rPr>
                <w:rFonts w:ascii="Times New Roman" w:eastAsia="方正黑体_GBK" w:hAnsi="Times New Roman"/>
                <w:kern w:val="0"/>
                <w:sz w:val="24"/>
                <w:szCs w:val="24"/>
              </w:rPr>
              <w:t>数</w:t>
            </w:r>
          </w:p>
        </w:tc>
      </w:tr>
      <w:tr w:rsidR="00BF0D98">
        <w:trPr>
          <w:trHeight w:val="300"/>
        </w:trPr>
        <w:tc>
          <w:tcPr>
            <w:tcW w:w="1686" w:type="dxa"/>
            <w:vMerge/>
            <w:tcBorders>
              <w:top w:val="single" w:sz="4" w:space="0" w:color="auto"/>
              <w:left w:val="single" w:sz="4" w:space="0" w:color="auto"/>
              <w:bottom w:val="single" w:sz="4" w:space="0" w:color="auto"/>
              <w:right w:val="single" w:sz="4" w:space="0" w:color="auto"/>
            </w:tcBorders>
            <w:vAlign w:val="center"/>
          </w:tcPr>
          <w:p w:rsidR="00BF0D98" w:rsidRDefault="00BF0D98">
            <w:pPr>
              <w:widowControl/>
              <w:jc w:val="left"/>
              <w:rPr>
                <w:rFonts w:ascii="Times New Roman" w:eastAsia="方正黑体_GBK" w:hAnsi="Times New Roman"/>
                <w:kern w:val="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proofErr w:type="gramStart"/>
            <w:r>
              <w:rPr>
                <w:rFonts w:ascii="Times New Roman" w:eastAsia="方正黑体_GBK" w:hAnsi="Times New Roman"/>
                <w:kern w:val="0"/>
                <w:sz w:val="24"/>
                <w:szCs w:val="24"/>
              </w:rPr>
              <w:t>合</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计</w:t>
            </w:r>
            <w:proofErr w:type="gramEnd"/>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一般债务</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专项债务</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left"/>
              <w:rPr>
                <w:rFonts w:ascii="Times New Roman" w:eastAsia="方正黑体_GBK" w:hAnsi="Times New Roman"/>
                <w:kern w:val="0"/>
                <w:sz w:val="24"/>
                <w:szCs w:val="24"/>
              </w:rPr>
            </w:pPr>
            <w:r>
              <w:rPr>
                <w:rFonts w:ascii="Times New Roman" w:eastAsia="方正黑体_GBK" w:hAnsi="Times New Roman"/>
                <w:kern w:val="0"/>
                <w:sz w:val="24"/>
                <w:szCs w:val="24"/>
              </w:rPr>
              <w:t xml:space="preserve">　</w:t>
            </w:r>
            <w:proofErr w:type="gramStart"/>
            <w:r>
              <w:rPr>
                <w:rFonts w:ascii="Times New Roman" w:eastAsia="方正黑体_GBK" w:hAnsi="Times New Roman"/>
                <w:kern w:val="0"/>
                <w:sz w:val="24"/>
                <w:szCs w:val="24"/>
              </w:rPr>
              <w:t>合</w:t>
            </w:r>
            <w:r>
              <w:rPr>
                <w:rFonts w:ascii="Times New Roman" w:eastAsia="方正黑体_GBK" w:hAnsi="Times New Roman"/>
                <w:kern w:val="0"/>
                <w:sz w:val="24"/>
                <w:szCs w:val="24"/>
              </w:rPr>
              <w:t xml:space="preserve">  </w:t>
            </w:r>
            <w:r>
              <w:rPr>
                <w:rFonts w:ascii="Times New Roman" w:eastAsia="方正黑体_GBK" w:hAnsi="Times New Roman"/>
                <w:kern w:val="0"/>
                <w:sz w:val="24"/>
                <w:szCs w:val="24"/>
              </w:rPr>
              <w:t>计</w:t>
            </w:r>
            <w:proofErr w:type="gramEnd"/>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一般债务</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eastAsia="方正黑体_GBK" w:hAnsi="Times New Roman"/>
                <w:kern w:val="0"/>
                <w:sz w:val="24"/>
                <w:szCs w:val="24"/>
              </w:rPr>
            </w:pPr>
            <w:r>
              <w:rPr>
                <w:rFonts w:ascii="Times New Roman" w:eastAsia="方正黑体_GBK" w:hAnsi="Times New Roman"/>
                <w:kern w:val="0"/>
                <w:sz w:val="24"/>
                <w:szCs w:val="24"/>
              </w:rPr>
              <w:t>专项债务</w:t>
            </w:r>
          </w:p>
        </w:tc>
      </w:tr>
      <w:tr w:rsidR="00BF0D98">
        <w:trPr>
          <w:trHeight w:val="288"/>
        </w:trPr>
        <w:tc>
          <w:tcPr>
            <w:tcW w:w="1686"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proofErr w:type="gramStart"/>
            <w:r>
              <w:rPr>
                <w:rFonts w:ascii="Times New Roman" w:hAnsi="Times New Roman"/>
                <w:b/>
                <w:bCs/>
                <w:kern w:val="0"/>
                <w:sz w:val="24"/>
                <w:szCs w:val="24"/>
              </w:rPr>
              <w:t>公</w:t>
            </w:r>
            <w:r>
              <w:rPr>
                <w:rFonts w:ascii="Times New Roman" w:hAnsi="Times New Roman"/>
                <w:b/>
                <w:bCs/>
                <w:kern w:val="0"/>
                <w:sz w:val="24"/>
                <w:szCs w:val="24"/>
              </w:rPr>
              <w:t xml:space="preserve">  </w:t>
            </w:r>
            <w:r>
              <w:rPr>
                <w:rFonts w:ascii="Times New Roman" w:hAnsi="Times New Roman"/>
                <w:b/>
                <w:bCs/>
                <w:kern w:val="0"/>
                <w:sz w:val="24"/>
                <w:szCs w:val="24"/>
              </w:rPr>
              <w:t>式</w:t>
            </w:r>
            <w:proofErr w:type="gramEnd"/>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r>
              <w:rPr>
                <w:rFonts w:ascii="Times New Roman" w:hAnsi="Times New Roman"/>
                <w:b/>
                <w:bCs/>
                <w:kern w:val="0"/>
                <w:sz w:val="24"/>
                <w:szCs w:val="24"/>
              </w:rPr>
              <w:t>A=B+C</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r>
              <w:rPr>
                <w:rFonts w:ascii="Times New Roman" w:hAnsi="Times New Roman"/>
                <w:b/>
                <w:bCs/>
                <w:kern w:val="0"/>
                <w:sz w:val="24"/>
                <w:szCs w:val="24"/>
              </w:rPr>
              <w:t>B</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r>
              <w:rPr>
                <w:rFonts w:ascii="Times New Roman" w:hAnsi="Times New Roman"/>
                <w:b/>
                <w:bCs/>
                <w:kern w:val="0"/>
                <w:sz w:val="24"/>
                <w:szCs w:val="24"/>
              </w:rPr>
              <w:t>C</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r>
              <w:rPr>
                <w:rFonts w:ascii="Times New Roman" w:hAnsi="Times New Roman"/>
                <w:b/>
                <w:bCs/>
                <w:kern w:val="0"/>
                <w:sz w:val="24"/>
                <w:szCs w:val="24"/>
              </w:rPr>
              <w:t>D=E+F</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r>
              <w:rPr>
                <w:rFonts w:ascii="Times New Roman" w:hAnsi="Times New Roman"/>
                <w:b/>
                <w:bCs/>
                <w:kern w:val="0"/>
                <w:sz w:val="24"/>
                <w:szCs w:val="24"/>
              </w:rPr>
              <w:t>E</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Times New Roman" w:hAnsi="Times New Roman"/>
                <w:b/>
                <w:bCs/>
                <w:kern w:val="0"/>
                <w:sz w:val="24"/>
                <w:szCs w:val="24"/>
              </w:rPr>
            </w:pPr>
            <w:r>
              <w:rPr>
                <w:rFonts w:ascii="Times New Roman" w:hAnsi="Times New Roman"/>
                <w:b/>
                <w:bCs/>
                <w:kern w:val="0"/>
                <w:sz w:val="24"/>
                <w:szCs w:val="24"/>
              </w:rPr>
              <w:t>F</w:t>
            </w:r>
          </w:p>
        </w:tc>
      </w:tr>
      <w:tr w:rsidR="00BF0D98">
        <w:trPr>
          <w:trHeight w:val="300"/>
        </w:trPr>
        <w:tc>
          <w:tcPr>
            <w:tcW w:w="1686"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left"/>
              <w:rPr>
                <w:rFonts w:ascii="Times New Roman" w:hAnsi="Times New Roman"/>
                <w:kern w:val="0"/>
                <w:sz w:val="24"/>
                <w:szCs w:val="24"/>
              </w:rPr>
            </w:pPr>
            <w:r>
              <w:rPr>
                <w:rFonts w:ascii="Times New Roman" w:hAnsi="Times New Roman"/>
                <w:kern w:val="0"/>
                <w:sz w:val="24"/>
                <w:szCs w:val="24"/>
              </w:rPr>
              <w:t>重庆高新区</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7,568,500</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1,722,500</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5,846,000</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7,568,385</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1,722,435</w:t>
            </w:r>
          </w:p>
        </w:tc>
        <w:tc>
          <w:tcPr>
            <w:tcW w:w="1380" w:type="dxa"/>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right"/>
              <w:rPr>
                <w:rFonts w:ascii="Times New Roman" w:hAnsi="Times New Roman"/>
                <w:kern w:val="0"/>
                <w:sz w:val="24"/>
                <w:szCs w:val="24"/>
              </w:rPr>
            </w:pPr>
            <w:r>
              <w:rPr>
                <w:rFonts w:ascii="Times New Roman" w:hAnsi="Times New Roman"/>
                <w:kern w:val="0"/>
                <w:sz w:val="24"/>
                <w:szCs w:val="24"/>
              </w:rPr>
              <w:t>5,845,950</w:t>
            </w:r>
          </w:p>
        </w:tc>
      </w:tr>
      <w:tr w:rsidR="00BF0D98">
        <w:trPr>
          <w:trHeight w:val="288"/>
        </w:trPr>
        <w:tc>
          <w:tcPr>
            <w:tcW w:w="9966" w:type="dxa"/>
            <w:gridSpan w:val="7"/>
            <w:tcBorders>
              <w:top w:val="single" w:sz="4" w:space="0" w:color="auto"/>
              <w:left w:val="nil"/>
              <w:bottom w:val="nil"/>
              <w:right w:val="nil"/>
            </w:tcBorders>
            <w:vAlign w:val="center"/>
          </w:tcPr>
          <w:p w:rsidR="00BF0D98" w:rsidRDefault="00000000">
            <w:pPr>
              <w:widowControl/>
              <w:jc w:val="left"/>
              <w:rPr>
                <w:rFonts w:ascii="Times New Roman" w:hAnsi="Times New Roman"/>
                <w:kern w:val="0"/>
                <w:sz w:val="22"/>
              </w:rPr>
            </w:pPr>
            <w:r>
              <w:rPr>
                <w:rFonts w:ascii="Times New Roman" w:hAnsi="Times New Roman"/>
                <w:kern w:val="0"/>
                <w:sz w:val="22"/>
              </w:rPr>
              <w:t>注：</w:t>
            </w:r>
            <w:r>
              <w:rPr>
                <w:rFonts w:ascii="Times New Roman" w:hAnsi="Times New Roman"/>
                <w:kern w:val="0"/>
                <w:sz w:val="22"/>
              </w:rPr>
              <w:t>1.</w:t>
            </w:r>
            <w:r>
              <w:rPr>
                <w:rFonts w:ascii="Times New Roman" w:hAnsi="Times New Roman"/>
                <w:kern w:val="0"/>
                <w:sz w:val="22"/>
              </w:rPr>
              <w:t>本表反映上一年度本级政府债务限额及余额</w:t>
            </w:r>
            <w:r>
              <w:rPr>
                <w:rFonts w:ascii="Times New Roman" w:hAnsi="Times New Roman" w:hint="eastAsia"/>
                <w:kern w:val="0"/>
                <w:sz w:val="22"/>
              </w:rPr>
              <w:t>决算</w:t>
            </w:r>
            <w:r>
              <w:rPr>
                <w:rFonts w:ascii="Times New Roman" w:hAnsi="Times New Roman"/>
                <w:kern w:val="0"/>
                <w:sz w:val="22"/>
              </w:rPr>
              <w:t>数。</w:t>
            </w:r>
          </w:p>
        </w:tc>
      </w:tr>
      <w:tr w:rsidR="00BF0D98">
        <w:trPr>
          <w:trHeight w:val="288"/>
        </w:trPr>
        <w:tc>
          <w:tcPr>
            <w:tcW w:w="9966" w:type="dxa"/>
            <w:gridSpan w:val="7"/>
            <w:tcBorders>
              <w:top w:val="nil"/>
              <w:left w:val="nil"/>
              <w:bottom w:val="nil"/>
              <w:right w:val="nil"/>
            </w:tcBorders>
            <w:vAlign w:val="center"/>
          </w:tcPr>
          <w:p w:rsidR="00BF0D98" w:rsidRDefault="00000000">
            <w:pPr>
              <w:widowControl/>
              <w:jc w:val="left"/>
              <w:rPr>
                <w:rFonts w:ascii="Times New Roman" w:hAnsi="Times New Roman"/>
                <w:kern w:val="0"/>
                <w:sz w:val="22"/>
              </w:rPr>
            </w:pPr>
            <w:r>
              <w:rPr>
                <w:rFonts w:ascii="Times New Roman" w:hAnsi="Times New Roman"/>
                <w:kern w:val="0"/>
                <w:sz w:val="22"/>
              </w:rPr>
              <w:t>2.</w:t>
            </w:r>
            <w:r>
              <w:rPr>
                <w:rFonts w:ascii="Times New Roman" w:hAnsi="Times New Roman"/>
                <w:kern w:val="0"/>
                <w:sz w:val="22"/>
              </w:rPr>
              <w:t>本表由县级以上地方各级财政部门在本级人民代表大会批准预算后二十日内公开。</w:t>
            </w:r>
          </w:p>
        </w:tc>
      </w:tr>
    </w:tbl>
    <w:p w:rsidR="00BF0D98" w:rsidRDefault="00BF0D98">
      <w:pPr>
        <w:spacing w:line="600" w:lineRule="exact"/>
        <w:jc w:val="center"/>
        <w:rPr>
          <w:rFonts w:ascii="Times New Roman" w:eastAsia="方正小标宋_GBK" w:hAnsi="Times New Roman"/>
          <w:sz w:val="32"/>
        </w:rPr>
      </w:pPr>
    </w:p>
    <w:p w:rsidR="00BF0D98" w:rsidRDefault="00000000">
      <w:pPr>
        <w:widowControl/>
        <w:jc w:val="left"/>
        <w:rPr>
          <w:rFonts w:ascii="Times New Roman" w:eastAsia="方正小标宋_GBK" w:hAnsi="Times New Roman"/>
          <w:sz w:val="32"/>
        </w:rPr>
        <w:sectPr w:rsidR="00BF0D98">
          <w:pgSz w:w="11906" w:h="16838"/>
          <w:pgMar w:top="2098" w:right="1531" w:bottom="1985" w:left="1531" w:header="851" w:footer="1417" w:gutter="0"/>
          <w:cols w:space="425"/>
          <w:docGrid w:type="lines" w:linePitch="435"/>
        </w:sectPr>
      </w:pPr>
      <w:r>
        <w:rPr>
          <w:rFonts w:ascii="Times New Roman" w:eastAsia="方正小标宋_GBK" w:hAnsi="Times New Roman"/>
          <w:sz w:val="32"/>
        </w:rPr>
        <w:br w:type="page"/>
      </w:r>
    </w:p>
    <w:p w:rsidR="00BF0D98" w:rsidRDefault="00000000">
      <w:pPr>
        <w:widowControl/>
        <w:jc w:val="left"/>
        <w:rPr>
          <w:rFonts w:ascii="方正黑体_GBK" w:eastAsia="方正黑体_GBK" w:hAnsi="Times New Roman"/>
          <w:sz w:val="32"/>
        </w:rPr>
      </w:pPr>
      <w:r>
        <w:rPr>
          <w:rFonts w:ascii="方正黑体_GBK" w:eastAsia="方正黑体_GBK" w:hAnsi="Times New Roman" w:hint="eastAsia"/>
          <w:sz w:val="32"/>
        </w:rPr>
        <w:lastRenderedPageBreak/>
        <w:t>表20</w:t>
      </w:r>
    </w:p>
    <w:tbl>
      <w:tblPr>
        <w:tblW w:w="13240" w:type="dxa"/>
        <w:tblLook w:val="04A0" w:firstRow="1" w:lastRow="0" w:firstColumn="1" w:lastColumn="0" w:noHBand="0" w:noVBand="1"/>
      </w:tblPr>
      <w:tblGrid>
        <w:gridCol w:w="4338"/>
        <w:gridCol w:w="1476"/>
        <w:gridCol w:w="1416"/>
        <w:gridCol w:w="1559"/>
        <w:gridCol w:w="1559"/>
        <w:gridCol w:w="1416"/>
        <w:gridCol w:w="1476"/>
      </w:tblGrid>
      <w:tr w:rsidR="00BF0D98">
        <w:trPr>
          <w:trHeight w:val="432"/>
        </w:trPr>
        <w:tc>
          <w:tcPr>
            <w:tcW w:w="13240" w:type="dxa"/>
            <w:gridSpan w:val="7"/>
            <w:tcBorders>
              <w:top w:val="nil"/>
              <w:left w:val="nil"/>
              <w:bottom w:val="nil"/>
              <w:right w:val="nil"/>
            </w:tcBorders>
            <w:vAlign w:val="center"/>
          </w:tcPr>
          <w:p w:rsidR="00BF0D98" w:rsidRDefault="00000000">
            <w:pPr>
              <w:widowControl/>
              <w:jc w:val="center"/>
              <w:rPr>
                <w:rFonts w:ascii="方正小标宋_GBK" w:eastAsia="方正小标宋_GBK" w:hAnsi="等线" w:cs="宋体" w:hint="eastAsia"/>
                <w:kern w:val="0"/>
                <w:sz w:val="32"/>
                <w:szCs w:val="32"/>
              </w:rPr>
            </w:pPr>
            <w:r>
              <w:rPr>
                <w:rFonts w:ascii="方正小标宋_GBK" w:eastAsia="方正小标宋_GBK" w:hAnsi="等线" w:cs="宋体" w:hint="eastAsia"/>
                <w:kern w:val="0"/>
                <w:sz w:val="36"/>
                <w:szCs w:val="36"/>
              </w:rPr>
              <w:t>地方政府债券发行及还本付息情况表</w:t>
            </w:r>
          </w:p>
        </w:tc>
      </w:tr>
      <w:tr w:rsidR="00BF0D98">
        <w:trPr>
          <w:trHeight w:val="432"/>
        </w:trPr>
        <w:tc>
          <w:tcPr>
            <w:tcW w:w="4395" w:type="dxa"/>
            <w:tcBorders>
              <w:top w:val="nil"/>
              <w:left w:val="nil"/>
              <w:bottom w:val="nil"/>
              <w:right w:val="nil"/>
            </w:tcBorders>
            <w:vAlign w:val="center"/>
          </w:tcPr>
          <w:p w:rsidR="00BF0D98" w:rsidRDefault="00BF0D98">
            <w:pPr>
              <w:widowControl/>
              <w:jc w:val="center"/>
              <w:rPr>
                <w:rFonts w:ascii="Times New Roman" w:eastAsia="Times New Roman" w:hAnsi="Times New Roman"/>
                <w:kern w:val="0"/>
                <w:sz w:val="20"/>
                <w:szCs w:val="20"/>
              </w:rPr>
            </w:pPr>
          </w:p>
        </w:tc>
        <w:tc>
          <w:tcPr>
            <w:tcW w:w="1417" w:type="dxa"/>
            <w:tcBorders>
              <w:top w:val="nil"/>
              <w:left w:val="nil"/>
              <w:bottom w:val="nil"/>
              <w:right w:val="nil"/>
            </w:tcBorders>
            <w:vAlign w:val="center"/>
          </w:tcPr>
          <w:p w:rsidR="00BF0D98" w:rsidRDefault="00BF0D98">
            <w:pPr>
              <w:widowControl/>
              <w:jc w:val="center"/>
              <w:rPr>
                <w:rFonts w:ascii="Times New Roman" w:eastAsia="Times New Roman" w:hAnsi="Times New Roman"/>
                <w:kern w:val="0"/>
                <w:sz w:val="20"/>
                <w:szCs w:val="20"/>
              </w:rPr>
            </w:pPr>
          </w:p>
        </w:tc>
        <w:tc>
          <w:tcPr>
            <w:tcW w:w="1418" w:type="dxa"/>
            <w:tcBorders>
              <w:top w:val="nil"/>
              <w:left w:val="nil"/>
              <w:bottom w:val="nil"/>
              <w:right w:val="nil"/>
            </w:tcBorders>
            <w:vAlign w:val="center"/>
          </w:tcPr>
          <w:p w:rsidR="00BF0D98" w:rsidRDefault="00BF0D98">
            <w:pPr>
              <w:widowControl/>
              <w:jc w:val="center"/>
              <w:rPr>
                <w:rFonts w:ascii="Times New Roman" w:eastAsia="Times New Roman" w:hAnsi="Times New Roman"/>
                <w:kern w:val="0"/>
                <w:sz w:val="20"/>
                <w:szCs w:val="20"/>
              </w:rPr>
            </w:pPr>
          </w:p>
        </w:tc>
        <w:tc>
          <w:tcPr>
            <w:tcW w:w="1559" w:type="dxa"/>
            <w:tcBorders>
              <w:top w:val="nil"/>
              <w:left w:val="nil"/>
              <w:bottom w:val="nil"/>
              <w:right w:val="nil"/>
            </w:tcBorders>
            <w:noWrap/>
            <w:vAlign w:val="bottom"/>
          </w:tcPr>
          <w:p w:rsidR="00BF0D98" w:rsidRDefault="00BF0D98">
            <w:pPr>
              <w:widowControl/>
              <w:jc w:val="center"/>
              <w:rPr>
                <w:rFonts w:ascii="Times New Roman" w:eastAsia="Times New Roman" w:hAnsi="Times New Roman"/>
                <w:kern w:val="0"/>
                <w:sz w:val="20"/>
                <w:szCs w:val="20"/>
              </w:rPr>
            </w:pPr>
          </w:p>
        </w:tc>
        <w:tc>
          <w:tcPr>
            <w:tcW w:w="4451" w:type="dxa"/>
            <w:gridSpan w:val="3"/>
            <w:tcBorders>
              <w:top w:val="nil"/>
              <w:left w:val="nil"/>
              <w:bottom w:val="nil"/>
              <w:right w:val="nil"/>
            </w:tcBorders>
            <w:noWrap/>
            <w:vAlign w:val="bottom"/>
          </w:tcPr>
          <w:p w:rsidR="00BF0D98" w:rsidRDefault="00000000">
            <w:pPr>
              <w:widowControl/>
              <w:jc w:val="right"/>
              <w:rPr>
                <w:rFonts w:ascii="方正楷体_GBK" w:eastAsia="方正楷体_GBK" w:hAnsi="等线" w:cs="宋体" w:hint="eastAsia"/>
                <w:color w:val="000000"/>
                <w:kern w:val="0"/>
                <w:sz w:val="22"/>
              </w:rPr>
            </w:pPr>
            <w:r>
              <w:rPr>
                <w:rFonts w:ascii="方正楷体_GBK" w:eastAsia="方正楷体_GBK" w:hAnsi="等线" w:cs="宋体" w:hint="eastAsia"/>
                <w:color w:val="000000"/>
                <w:kern w:val="0"/>
                <w:sz w:val="24"/>
              </w:rPr>
              <w:t>单位：万元</w:t>
            </w:r>
          </w:p>
        </w:tc>
      </w:tr>
      <w:tr w:rsidR="00BF0D98">
        <w:trPr>
          <w:trHeight w:val="324"/>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BF0D98" w:rsidRDefault="00000000">
            <w:pPr>
              <w:widowControl/>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项目</w:t>
            </w:r>
          </w:p>
        </w:tc>
        <w:tc>
          <w:tcPr>
            <w:tcW w:w="4394" w:type="dxa"/>
            <w:gridSpan w:val="3"/>
            <w:tcBorders>
              <w:top w:val="single" w:sz="4" w:space="0" w:color="auto"/>
              <w:left w:val="nil"/>
              <w:bottom w:val="single" w:sz="4" w:space="0" w:color="auto"/>
              <w:right w:val="single" w:sz="4" w:space="0" w:color="auto"/>
            </w:tcBorders>
            <w:vAlign w:val="center"/>
          </w:tcPr>
          <w:p w:rsidR="00BF0D98" w:rsidRDefault="00000000">
            <w:pPr>
              <w:widowControl/>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预算数</w:t>
            </w:r>
          </w:p>
        </w:tc>
        <w:tc>
          <w:tcPr>
            <w:tcW w:w="4451" w:type="dxa"/>
            <w:gridSpan w:val="3"/>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方正黑体_GBK" w:eastAsia="方正黑体_GBK" w:hAnsi="等线" w:cs="宋体" w:hint="eastAsia"/>
                <w:color w:val="000000"/>
                <w:kern w:val="0"/>
                <w:sz w:val="24"/>
                <w:szCs w:val="24"/>
              </w:rPr>
            </w:pPr>
            <w:r>
              <w:rPr>
                <w:rFonts w:ascii="方正黑体_GBK" w:eastAsia="方正黑体_GBK" w:hAnsi="等线" w:cs="宋体" w:hint="eastAsia"/>
                <w:color w:val="000000"/>
                <w:kern w:val="0"/>
                <w:sz w:val="24"/>
                <w:szCs w:val="24"/>
              </w:rPr>
              <w:t>决算数</w:t>
            </w:r>
          </w:p>
        </w:tc>
      </w:tr>
      <w:tr w:rsidR="00BF0D98">
        <w:trPr>
          <w:trHeight w:val="324"/>
        </w:trPr>
        <w:tc>
          <w:tcPr>
            <w:tcW w:w="4395" w:type="dxa"/>
            <w:vMerge/>
            <w:tcBorders>
              <w:top w:val="single" w:sz="4" w:space="0" w:color="auto"/>
              <w:left w:val="single" w:sz="4" w:space="0" w:color="auto"/>
              <w:bottom w:val="single" w:sz="4" w:space="0" w:color="auto"/>
              <w:right w:val="single" w:sz="4" w:space="0" w:color="auto"/>
            </w:tcBorders>
            <w:vAlign w:val="center"/>
          </w:tcPr>
          <w:p w:rsidR="00BF0D98" w:rsidRDefault="00BF0D98">
            <w:pPr>
              <w:widowControl/>
              <w:jc w:val="left"/>
              <w:rPr>
                <w:rFonts w:ascii="方正黑体_GBK" w:eastAsia="方正黑体_GBK" w:hAnsi="等线" w:cs="宋体" w:hint="eastAsia"/>
                <w:kern w:val="0"/>
                <w:sz w:val="24"/>
                <w:szCs w:val="24"/>
              </w:rPr>
            </w:pPr>
          </w:p>
        </w:tc>
        <w:tc>
          <w:tcPr>
            <w:tcW w:w="1417" w:type="dxa"/>
            <w:tcBorders>
              <w:top w:val="nil"/>
              <w:left w:val="nil"/>
              <w:bottom w:val="single" w:sz="4" w:space="0" w:color="auto"/>
              <w:right w:val="single" w:sz="4" w:space="0" w:color="auto"/>
            </w:tcBorders>
            <w:vAlign w:val="center"/>
          </w:tcPr>
          <w:p w:rsidR="00BF0D98" w:rsidRDefault="00000000">
            <w:pPr>
              <w:widowControl/>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合计</w:t>
            </w:r>
          </w:p>
        </w:tc>
        <w:tc>
          <w:tcPr>
            <w:tcW w:w="1418" w:type="dxa"/>
            <w:tcBorders>
              <w:top w:val="nil"/>
              <w:left w:val="nil"/>
              <w:bottom w:val="single" w:sz="4" w:space="0" w:color="auto"/>
              <w:right w:val="single" w:sz="4" w:space="0" w:color="auto"/>
            </w:tcBorders>
            <w:vAlign w:val="center"/>
          </w:tcPr>
          <w:p w:rsidR="00BF0D98" w:rsidRDefault="00000000">
            <w:pPr>
              <w:widowControl/>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一般债券</w:t>
            </w:r>
          </w:p>
        </w:tc>
        <w:tc>
          <w:tcPr>
            <w:tcW w:w="1559" w:type="dxa"/>
            <w:tcBorders>
              <w:top w:val="nil"/>
              <w:left w:val="nil"/>
              <w:bottom w:val="single" w:sz="4" w:space="0" w:color="auto"/>
              <w:right w:val="single" w:sz="4" w:space="0" w:color="auto"/>
            </w:tcBorders>
            <w:noWrap/>
            <w:vAlign w:val="center"/>
          </w:tcPr>
          <w:p w:rsidR="00BF0D98" w:rsidRDefault="00000000">
            <w:pPr>
              <w:widowControl/>
              <w:jc w:val="center"/>
              <w:rPr>
                <w:rFonts w:ascii="方正黑体_GBK" w:eastAsia="方正黑体_GBK" w:hAnsi="等线" w:cs="宋体" w:hint="eastAsia"/>
                <w:color w:val="000000"/>
                <w:kern w:val="0"/>
                <w:sz w:val="24"/>
                <w:szCs w:val="24"/>
              </w:rPr>
            </w:pPr>
            <w:r>
              <w:rPr>
                <w:rFonts w:ascii="方正黑体_GBK" w:eastAsia="方正黑体_GBK" w:hAnsi="等线" w:cs="宋体" w:hint="eastAsia"/>
                <w:color w:val="000000"/>
                <w:kern w:val="0"/>
                <w:sz w:val="24"/>
                <w:szCs w:val="24"/>
              </w:rPr>
              <w:t>专项债券</w:t>
            </w:r>
          </w:p>
        </w:tc>
        <w:tc>
          <w:tcPr>
            <w:tcW w:w="1559" w:type="dxa"/>
            <w:tcBorders>
              <w:top w:val="nil"/>
              <w:left w:val="nil"/>
              <w:bottom w:val="single" w:sz="4" w:space="0" w:color="auto"/>
              <w:right w:val="single" w:sz="4" w:space="0" w:color="auto"/>
            </w:tcBorders>
            <w:vAlign w:val="center"/>
          </w:tcPr>
          <w:p w:rsidR="00BF0D98" w:rsidRDefault="00000000">
            <w:pPr>
              <w:widowControl/>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合计</w:t>
            </w:r>
          </w:p>
        </w:tc>
        <w:tc>
          <w:tcPr>
            <w:tcW w:w="1416" w:type="dxa"/>
            <w:tcBorders>
              <w:top w:val="nil"/>
              <w:left w:val="nil"/>
              <w:bottom w:val="single" w:sz="4" w:space="0" w:color="auto"/>
              <w:right w:val="single" w:sz="4" w:space="0" w:color="auto"/>
            </w:tcBorders>
            <w:vAlign w:val="center"/>
          </w:tcPr>
          <w:p w:rsidR="00BF0D98" w:rsidRDefault="00000000">
            <w:pPr>
              <w:widowControl/>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一般债券</w:t>
            </w:r>
          </w:p>
        </w:tc>
        <w:tc>
          <w:tcPr>
            <w:tcW w:w="1476" w:type="dxa"/>
            <w:tcBorders>
              <w:top w:val="nil"/>
              <w:left w:val="nil"/>
              <w:bottom w:val="single" w:sz="4" w:space="0" w:color="auto"/>
              <w:right w:val="single" w:sz="4" w:space="0" w:color="auto"/>
            </w:tcBorders>
            <w:vAlign w:val="center"/>
          </w:tcPr>
          <w:p w:rsidR="00BF0D98" w:rsidRDefault="00000000">
            <w:pPr>
              <w:widowControl/>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专项债券</w:t>
            </w:r>
          </w:p>
        </w:tc>
      </w:tr>
      <w:tr w:rsidR="00BF0D98">
        <w:trPr>
          <w:trHeight w:val="312"/>
        </w:trPr>
        <w:tc>
          <w:tcPr>
            <w:tcW w:w="4395"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2024年政府债券发行（转贷）情况</w:t>
            </w:r>
          </w:p>
        </w:tc>
        <w:tc>
          <w:tcPr>
            <w:tcW w:w="1417"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1,512,170.00</w:t>
            </w:r>
          </w:p>
        </w:tc>
        <w:tc>
          <w:tcPr>
            <w:tcW w:w="1418"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236,270.00</w:t>
            </w:r>
          </w:p>
        </w:tc>
        <w:tc>
          <w:tcPr>
            <w:tcW w:w="1559"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1,275,900.00</w:t>
            </w:r>
          </w:p>
        </w:tc>
        <w:tc>
          <w:tcPr>
            <w:tcW w:w="1559"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1,512,170.00</w:t>
            </w:r>
          </w:p>
        </w:tc>
        <w:tc>
          <w:tcPr>
            <w:tcW w:w="1416"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236,270.00</w:t>
            </w:r>
          </w:p>
        </w:tc>
        <w:tc>
          <w:tcPr>
            <w:tcW w:w="1476"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1,275,900.00</w:t>
            </w:r>
          </w:p>
        </w:tc>
      </w:tr>
      <w:tr w:rsidR="00BF0D98">
        <w:trPr>
          <w:trHeight w:val="312"/>
        </w:trPr>
        <w:tc>
          <w:tcPr>
            <w:tcW w:w="4395"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其中：再融资债券</w:t>
            </w:r>
          </w:p>
        </w:tc>
        <w:tc>
          <w:tcPr>
            <w:tcW w:w="1417"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574,370.00</w:t>
            </w:r>
          </w:p>
        </w:tc>
        <w:tc>
          <w:tcPr>
            <w:tcW w:w="1418"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219,770.00</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354,600.00</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574,370.00</w:t>
            </w:r>
          </w:p>
        </w:tc>
        <w:tc>
          <w:tcPr>
            <w:tcW w:w="1416"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219,770.00</w:t>
            </w:r>
          </w:p>
        </w:tc>
        <w:tc>
          <w:tcPr>
            <w:tcW w:w="1476"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354,600.00</w:t>
            </w:r>
          </w:p>
        </w:tc>
      </w:tr>
      <w:tr w:rsidR="00BF0D98">
        <w:trPr>
          <w:trHeight w:val="312"/>
        </w:trPr>
        <w:tc>
          <w:tcPr>
            <w:tcW w:w="4395"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新增债券</w:t>
            </w:r>
          </w:p>
        </w:tc>
        <w:tc>
          <w:tcPr>
            <w:tcW w:w="1417"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937,800.00</w:t>
            </w:r>
          </w:p>
        </w:tc>
        <w:tc>
          <w:tcPr>
            <w:tcW w:w="1418"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16,500.00</w:t>
            </w:r>
          </w:p>
        </w:tc>
        <w:tc>
          <w:tcPr>
            <w:tcW w:w="1559"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921,300.00</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937,800.00</w:t>
            </w:r>
          </w:p>
        </w:tc>
        <w:tc>
          <w:tcPr>
            <w:tcW w:w="1416"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16,500.00</w:t>
            </w:r>
          </w:p>
        </w:tc>
        <w:tc>
          <w:tcPr>
            <w:tcW w:w="147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921,300.00</w:t>
            </w:r>
          </w:p>
        </w:tc>
      </w:tr>
      <w:tr w:rsidR="00BF0D98">
        <w:trPr>
          <w:trHeight w:val="312"/>
        </w:trPr>
        <w:tc>
          <w:tcPr>
            <w:tcW w:w="4395"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2024年政府债券还本情况</w:t>
            </w:r>
          </w:p>
        </w:tc>
        <w:tc>
          <w:tcPr>
            <w:tcW w:w="1417"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393,400.00</w:t>
            </w:r>
          </w:p>
        </w:tc>
        <w:tc>
          <w:tcPr>
            <w:tcW w:w="1418"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218,400.00</w:t>
            </w:r>
          </w:p>
        </w:tc>
        <w:tc>
          <w:tcPr>
            <w:tcW w:w="1559"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175,000.00</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393,400.00</w:t>
            </w:r>
          </w:p>
        </w:tc>
        <w:tc>
          <w:tcPr>
            <w:tcW w:w="1416"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218,400.00</w:t>
            </w:r>
          </w:p>
        </w:tc>
        <w:tc>
          <w:tcPr>
            <w:tcW w:w="1476"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175,000.00</w:t>
            </w:r>
          </w:p>
        </w:tc>
      </w:tr>
      <w:tr w:rsidR="00BF0D98">
        <w:trPr>
          <w:trHeight w:val="312"/>
        </w:trPr>
        <w:tc>
          <w:tcPr>
            <w:tcW w:w="4395"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其中：再融资债券</w:t>
            </w:r>
          </w:p>
        </w:tc>
        <w:tc>
          <w:tcPr>
            <w:tcW w:w="1417"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380,070.00</w:t>
            </w:r>
          </w:p>
        </w:tc>
        <w:tc>
          <w:tcPr>
            <w:tcW w:w="1418"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205,070.00</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175,000.00</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380,070.00</w:t>
            </w:r>
          </w:p>
        </w:tc>
        <w:tc>
          <w:tcPr>
            <w:tcW w:w="1416"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205,070.00</w:t>
            </w:r>
          </w:p>
        </w:tc>
        <w:tc>
          <w:tcPr>
            <w:tcW w:w="1476"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175,000.00</w:t>
            </w:r>
          </w:p>
        </w:tc>
      </w:tr>
      <w:tr w:rsidR="00BF0D98">
        <w:trPr>
          <w:trHeight w:val="312"/>
        </w:trPr>
        <w:tc>
          <w:tcPr>
            <w:tcW w:w="4395"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cs="宋体" w:hint="eastAsia"/>
                <w:kern w:val="0"/>
                <w:sz w:val="24"/>
                <w:szCs w:val="24"/>
              </w:rPr>
            </w:pPr>
            <w:r>
              <w:rPr>
                <w:rFonts w:ascii="宋体" w:hAnsi="宋体" w:cs="宋体" w:hint="eastAsia"/>
                <w:kern w:val="0"/>
                <w:sz w:val="24"/>
                <w:szCs w:val="24"/>
              </w:rPr>
              <w:t xml:space="preserve">      财政预算安排</w:t>
            </w:r>
          </w:p>
        </w:tc>
        <w:tc>
          <w:tcPr>
            <w:tcW w:w="1417"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13,330.00</w:t>
            </w:r>
          </w:p>
        </w:tc>
        <w:tc>
          <w:tcPr>
            <w:tcW w:w="1418"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13,330.00</w:t>
            </w:r>
          </w:p>
        </w:tc>
        <w:tc>
          <w:tcPr>
            <w:tcW w:w="1559" w:type="dxa"/>
            <w:tcBorders>
              <w:top w:val="nil"/>
              <w:left w:val="nil"/>
              <w:bottom w:val="single" w:sz="4" w:space="0" w:color="auto"/>
              <w:right w:val="single" w:sz="4" w:space="0" w:color="auto"/>
            </w:tcBorders>
            <w:noWrap/>
            <w:vAlign w:val="bottom"/>
          </w:tcPr>
          <w:p w:rsidR="00BF0D98" w:rsidRDefault="00BF0D98">
            <w:pPr>
              <w:widowControl/>
              <w:jc w:val="right"/>
              <w:rPr>
                <w:rFonts w:ascii="Times New Roman" w:eastAsia="等线" w:hAnsi="Times New Roman"/>
                <w:color w:val="000000"/>
                <w:kern w:val="0"/>
                <w:sz w:val="24"/>
                <w:szCs w:val="24"/>
              </w:rPr>
            </w:pP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13,330.00</w:t>
            </w:r>
          </w:p>
        </w:tc>
        <w:tc>
          <w:tcPr>
            <w:tcW w:w="1416"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13,330.00</w:t>
            </w:r>
          </w:p>
        </w:tc>
        <w:tc>
          <w:tcPr>
            <w:tcW w:w="1476" w:type="dxa"/>
            <w:tcBorders>
              <w:top w:val="nil"/>
              <w:left w:val="nil"/>
              <w:bottom w:val="single" w:sz="4" w:space="0" w:color="auto"/>
              <w:right w:val="single" w:sz="4" w:space="0" w:color="auto"/>
            </w:tcBorders>
            <w:noWrap/>
            <w:vAlign w:val="bottom"/>
          </w:tcPr>
          <w:p w:rsidR="00BF0D98" w:rsidRDefault="00BF0D98">
            <w:pPr>
              <w:widowControl/>
              <w:jc w:val="right"/>
              <w:rPr>
                <w:rFonts w:ascii="Times New Roman" w:eastAsia="等线" w:hAnsi="Times New Roman"/>
                <w:color w:val="000000"/>
                <w:kern w:val="0"/>
                <w:sz w:val="24"/>
                <w:szCs w:val="24"/>
              </w:rPr>
            </w:pPr>
          </w:p>
        </w:tc>
      </w:tr>
      <w:tr w:rsidR="00BF0D98">
        <w:trPr>
          <w:trHeight w:val="312"/>
        </w:trPr>
        <w:tc>
          <w:tcPr>
            <w:tcW w:w="4395" w:type="dxa"/>
            <w:tcBorders>
              <w:top w:val="nil"/>
              <w:left w:val="single" w:sz="4" w:space="0" w:color="auto"/>
              <w:bottom w:val="single" w:sz="4" w:space="0" w:color="auto"/>
              <w:right w:val="single" w:sz="4" w:space="0" w:color="auto"/>
            </w:tcBorders>
            <w:vAlign w:val="center"/>
          </w:tcPr>
          <w:p w:rsidR="00BF0D98" w:rsidRDefault="00000000">
            <w:pPr>
              <w:widowControl/>
              <w:jc w:val="left"/>
              <w:rPr>
                <w:rFonts w:ascii="宋体" w:hAnsi="宋体" w:cs="宋体" w:hint="eastAsia"/>
                <w:b/>
                <w:bCs/>
                <w:kern w:val="0"/>
                <w:sz w:val="24"/>
                <w:szCs w:val="24"/>
              </w:rPr>
            </w:pPr>
            <w:r>
              <w:rPr>
                <w:rFonts w:ascii="宋体" w:hAnsi="宋体" w:cs="宋体" w:hint="eastAsia"/>
                <w:b/>
                <w:bCs/>
                <w:kern w:val="0"/>
                <w:sz w:val="24"/>
                <w:szCs w:val="24"/>
              </w:rPr>
              <w:t>2024年政府债券付息情况</w:t>
            </w:r>
          </w:p>
        </w:tc>
        <w:tc>
          <w:tcPr>
            <w:tcW w:w="1417"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220,966.23</w:t>
            </w:r>
          </w:p>
        </w:tc>
        <w:tc>
          <w:tcPr>
            <w:tcW w:w="1418"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55,660.07</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165,306.16</w:t>
            </w:r>
          </w:p>
        </w:tc>
        <w:tc>
          <w:tcPr>
            <w:tcW w:w="1559"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220,966.23</w:t>
            </w:r>
          </w:p>
        </w:tc>
        <w:tc>
          <w:tcPr>
            <w:tcW w:w="1416" w:type="dxa"/>
            <w:tcBorders>
              <w:top w:val="nil"/>
              <w:left w:val="nil"/>
              <w:bottom w:val="single" w:sz="4" w:space="0" w:color="auto"/>
              <w:right w:val="single" w:sz="4" w:space="0" w:color="auto"/>
            </w:tcBorders>
            <w:vAlign w:val="center"/>
          </w:tcPr>
          <w:p w:rsidR="00BF0D98" w:rsidRDefault="00000000">
            <w:pPr>
              <w:widowControl/>
              <w:jc w:val="right"/>
              <w:rPr>
                <w:rFonts w:ascii="Times New Roman" w:eastAsia="等线" w:hAnsi="Times New Roman"/>
                <w:kern w:val="0"/>
                <w:sz w:val="24"/>
                <w:szCs w:val="24"/>
              </w:rPr>
            </w:pPr>
            <w:r>
              <w:rPr>
                <w:rFonts w:ascii="Times New Roman" w:eastAsia="等线" w:hAnsi="Times New Roman"/>
                <w:kern w:val="0"/>
                <w:sz w:val="24"/>
                <w:szCs w:val="24"/>
              </w:rPr>
              <w:t>55,660.07</w:t>
            </w:r>
          </w:p>
        </w:tc>
        <w:tc>
          <w:tcPr>
            <w:tcW w:w="1476" w:type="dxa"/>
            <w:tcBorders>
              <w:top w:val="nil"/>
              <w:left w:val="nil"/>
              <w:bottom w:val="single" w:sz="4" w:space="0" w:color="auto"/>
              <w:right w:val="single" w:sz="4" w:space="0" w:color="auto"/>
            </w:tcBorders>
            <w:noWrap/>
            <w:vAlign w:val="bottom"/>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165,306.16</w:t>
            </w:r>
          </w:p>
        </w:tc>
      </w:tr>
    </w:tbl>
    <w:p w:rsidR="00BF0D98" w:rsidRDefault="00BF0D98">
      <w:pPr>
        <w:widowControl/>
        <w:jc w:val="left"/>
        <w:rPr>
          <w:rFonts w:ascii="Times New Roman" w:eastAsia="方正小标宋_GBK" w:hAnsi="Times New Roman"/>
          <w:sz w:val="32"/>
        </w:rPr>
      </w:pPr>
    </w:p>
    <w:p w:rsidR="00BF0D98" w:rsidRDefault="00000000">
      <w:pPr>
        <w:widowControl/>
        <w:jc w:val="left"/>
        <w:rPr>
          <w:rFonts w:ascii="Times New Roman" w:eastAsia="方正小标宋_GBK" w:hAnsi="Times New Roman"/>
          <w:sz w:val="32"/>
        </w:rPr>
        <w:sectPr w:rsidR="00BF0D98">
          <w:headerReference w:type="even" r:id="rId12"/>
          <w:headerReference w:type="default" r:id="rId13"/>
          <w:footerReference w:type="even" r:id="rId14"/>
          <w:footerReference w:type="default" r:id="rId15"/>
          <w:headerReference w:type="first" r:id="rId16"/>
          <w:footerReference w:type="first" r:id="rId17"/>
          <w:pgSz w:w="16838" w:h="11906" w:orient="landscape"/>
          <w:pgMar w:top="1531" w:right="2098" w:bottom="1531" w:left="1985" w:header="851" w:footer="1531" w:gutter="0"/>
          <w:cols w:space="425"/>
          <w:docGrid w:type="lines" w:linePitch="435"/>
        </w:sectPr>
      </w:pPr>
      <w:r>
        <w:rPr>
          <w:rFonts w:ascii="Times New Roman" w:eastAsia="方正小标宋_GBK" w:hAnsi="Times New Roman"/>
          <w:sz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bookmarkStart w:id="8" w:name="_Hlk175241075"/>
      <w:r>
        <w:rPr>
          <w:rFonts w:ascii="方正黑体_GBK" w:eastAsia="方正黑体_GBK" w:hAnsi="Times New Roman" w:hint="eastAsia"/>
          <w:sz w:val="32"/>
          <w:szCs w:val="32"/>
        </w:rPr>
        <w:lastRenderedPageBreak/>
        <w:t>表21</w:t>
      </w:r>
    </w:p>
    <w:p w:rsidR="00BF0D98" w:rsidRDefault="00BF0D98">
      <w:pPr>
        <w:adjustRightInd w:val="0"/>
        <w:snapToGrid w:val="0"/>
        <w:spacing w:line="600" w:lineRule="exact"/>
        <w:jc w:val="center"/>
        <w:rPr>
          <w:rFonts w:ascii="方正小标宋_GBK" w:eastAsia="方正小标宋_GBK" w:hAnsi="Times New Roman"/>
          <w:sz w:val="44"/>
          <w:szCs w:val="44"/>
        </w:rPr>
      </w:pPr>
    </w:p>
    <w:p w:rsidR="00BF0D98" w:rsidRDefault="00000000">
      <w:pPr>
        <w:adjustRightInd w:val="0"/>
        <w:snapToGrid w:val="0"/>
        <w:spacing w:line="600" w:lineRule="exact"/>
        <w:jc w:val="center"/>
        <w:rPr>
          <w:rFonts w:ascii="方正小标宋_GBK" w:eastAsia="方正小标宋_GBK" w:hAnsi="Times New Roman"/>
          <w:sz w:val="36"/>
          <w:szCs w:val="36"/>
        </w:rPr>
      </w:pPr>
      <w:r>
        <w:rPr>
          <w:rFonts w:ascii="方正小标宋_GBK" w:eastAsia="方正小标宋_GBK" w:hAnsi="Times New Roman" w:hint="eastAsia"/>
          <w:sz w:val="36"/>
          <w:szCs w:val="36"/>
        </w:rPr>
        <w:t>2023年和2024年一般债务余额情况表</w:t>
      </w:r>
    </w:p>
    <w:p w:rsidR="00BF0D98" w:rsidRDefault="00BF0D98">
      <w:pPr>
        <w:adjustRightInd w:val="0"/>
        <w:snapToGrid w:val="0"/>
        <w:jc w:val="right"/>
        <w:rPr>
          <w:rFonts w:ascii="方正楷体_GBK" w:eastAsia="方正楷体_GBK" w:hAnsi="Times New Roman"/>
          <w:sz w:val="24"/>
          <w:szCs w:val="24"/>
        </w:rPr>
      </w:pPr>
    </w:p>
    <w:p w:rsidR="00BF0D98" w:rsidRDefault="00000000" w:rsidP="009A3D02">
      <w:pPr>
        <w:adjustRightInd w:val="0"/>
        <w:snapToGrid w:val="0"/>
        <w:ind w:rightChars="-108" w:right="-227"/>
        <w:jc w:val="right"/>
        <w:rPr>
          <w:rFonts w:ascii="方正楷体_GBK" w:eastAsia="方正楷体_GBK" w:hAnsi="Times New Roman"/>
          <w:sz w:val="24"/>
          <w:szCs w:val="24"/>
        </w:rPr>
      </w:pPr>
      <w:r>
        <w:rPr>
          <w:rFonts w:ascii="方正楷体_GBK" w:eastAsia="方正楷体_GBK" w:hAnsi="Times New Roman" w:hint="eastAsia"/>
          <w:sz w:val="24"/>
          <w:szCs w:val="24"/>
        </w:rPr>
        <w:t>单位：亿元</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1603"/>
        <w:gridCol w:w="2409"/>
      </w:tblGrid>
      <w:tr w:rsidR="00BF0D98">
        <w:trPr>
          <w:trHeight w:val="312"/>
        </w:trPr>
        <w:tc>
          <w:tcPr>
            <w:tcW w:w="5060" w:type="dxa"/>
            <w:vAlign w:val="center"/>
          </w:tcPr>
          <w:p w:rsidR="00BF0D98" w:rsidRDefault="00000000">
            <w:pPr>
              <w:widowControl/>
              <w:adjustRightInd w:val="0"/>
              <w:snapToGrid w:val="0"/>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项    目</w:t>
            </w:r>
          </w:p>
        </w:tc>
        <w:tc>
          <w:tcPr>
            <w:tcW w:w="1603" w:type="dxa"/>
            <w:vAlign w:val="center"/>
          </w:tcPr>
          <w:p w:rsidR="00BF0D98" w:rsidRDefault="00000000">
            <w:pPr>
              <w:widowControl/>
              <w:adjustRightInd w:val="0"/>
              <w:snapToGrid w:val="0"/>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预算数</w:t>
            </w:r>
          </w:p>
        </w:tc>
        <w:tc>
          <w:tcPr>
            <w:tcW w:w="2409" w:type="dxa"/>
            <w:vAlign w:val="center"/>
          </w:tcPr>
          <w:p w:rsidR="00BF0D98" w:rsidRDefault="00000000">
            <w:pPr>
              <w:widowControl/>
              <w:adjustRightInd w:val="0"/>
              <w:snapToGrid w:val="0"/>
              <w:jc w:val="center"/>
              <w:rPr>
                <w:rFonts w:ascii="方正黑体_GBK" w:eastAsia="方正黑体_GBK" w:hAnsi="宋体" w:cs="宋体" w:hint="eastAsia"/>
                <w:kern w:val="0"/>
                <w:sz w:val="24"/>
                <w:szCs w:val="24"/>
              </w:rPr>
            </w:pPr>
            <w:r>
              <w:rPr>
                <w:rFonts w:ascii="方正黑体_GBK" w:eastAsia="方正黑体_GBK" w:hAnsi="宋体" w:cs="宋体" w:hint="eastAsia"/>
                <w:kern w:val="0"/>
                <w:sz w:val="24"/>
                <w:szCs w:val="24"/>
              </w:rPr>
              <w:t>决算数</w:t>
            </w:r>
          </w:p>
        </w:tc>
      </w:tr>
      <w:tr w:rsidR="00BF0D98">
        <w:trPr>
          <w:trHeight w:val="312"/>
        </w:trPr>
        <w:tc>
          <w:tcPr>
            <w:tcW w:w="5060" w:type="dxa"/>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一、2023年末地方政府一般债务余额实际数</w:t>
            </w:r>
          </w:p>
        </w:tc>
        <w:tc>
          <w:tcPr>
            <w:tcW w:w="1603"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170.46</w:t>
            </w:r>
          </w:p>
        </w:tc>
        <w:tc>
          <w:tcPr>
            <w:tcW w:w="2409"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170.46</w:t>
            </w:r>
          </w:p>
        </w:tc>
      </w:tr>
      <w:tr w:rsidR="00BF0D98">
        <w:trPr>
          <w:trHeight w:val="312"/>
        </w:trPr>
        <w:tc>
          <w:tcPr>
            <w:tcW w:w="5060" w:type="dxa"/>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二、2024年末地方政府一般债务限额</w:t>
            </w:r>
          </w:p>
        </w:tc>
        <w:tc>
          <w:tcPr>
            <w:tcW w:w="1603"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172.25</w:t>
            </w:r>
          </w:p>
        </w:tc>
        <w:tc>
          <w:tcPr>
            <w:tcW w:w="2409"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172.25</w:t>
            </w:r>
          </w:p>
        </w:tc>
      </w:tr>
      <w:tr w:rsidR="00BF0D98">
        <w:trPr>
          <w:trHeight w:val="312"/>
        </w:trPr>
        <w:tc>
          <w:tcPr>
            <w:tcW w:w="5060" w:type="dxa"/>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三、2024年地方政府一般债务发行额</w:t>
            </w:r>
          </w:p>
        </w:tc>
        <w:tc>
          <w:tcPr>
            <w:tcW w:w="1603"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23.63</w:t>
            </w:r>
          </w:p>
        </w:tc>
        <w:tc>
          <w:tcPr>
            <w:tcW w:w="2409"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23.63</w:t>
            </w:r>
          </w:p>
        </w:tc>
      </w:tr>
      <w:tr w:rsidR="00BF0D98">
        <w:trPr>
          <w:trHeight w:val="624"/>
        </w:trPr>
        <w:tc>
          <w:tcPr>
            <w:tcW w:w="5060" w:type="dxa"/>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其中：中央转贷地方的国际金融组织和外国政府贷款</w:t>
            </w:r>
          </w:p>
        </w:tc>
        <w:tc>
          <w:tcPr>
            <w:tcW w:w="1603"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0.00</w:t>
            </w:r>
          </w:p>
        </w:tc>
        <w:tc>
          <w:tcPr>
            <w:tcW w:w="2409"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0.00</w:t>
            </w:r>
          </w:p>
        </w:tc>
      </w:tr>
      <w:tr w:rsidR="00BF0D98">
        <w:trPr>
          <w:trHeight w:val="312"/>
        </w:trPr>
        <w:tc>
          <w:tcPr>
            <w:tcW w:w="5060" w:type="dxa"/>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 xml:space="preserve">          2024年地方政府一般债券发行额</w:t>
            </w:r>
          </w:p>
        </w:tc>
        <w:tc>
          <w:tcPr>
            <w:tcW w:w="1603"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23.63</w:t>
            </w:r>
          </w:p>
        </w:tc>
        <w:tc>
          <w:tcPr>
            <w:tcW w:w="2409"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23.63</w:t>
            </w:r>
          </w:p>
        </w:tc>
      </w:tr>
      <w:tr w:rsidR="00BF0D98">
        <w:trPr>
          <w:trHeight w:val="312"/>
        </w:trPr>
        <w:tc>
          <w:tcPr>
            <w:tcW w:w="5060" w:type="dxa"/>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四、2024年地方政府一般债务还本支出</w:t>
            </w:r>
          </w:p>
        </w:tc>
        <w:tc>
          <w:tcPr>
            <w:tcW w:w="1603"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23.31</w:t>
            </w:r>
          </w:p>
        </w:tc>
        <w:tc>
          <w:tcPr>
            <w:tcW w:w="2409"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23.31</w:t>
            </w:r>
          </w:p>
        </w:tc>
      </w:tr>
      <w:tr w:rsidR="00BF0D98">
        <w:trPr>
          <w:trHeight w:val="624"/>
        </w:trPr>
        <w:tc>
          <w:tcPr>
            <w:tcW w:w="5060" w:type="dxa"/>
            <w:vAlign w:val="center"/>
          </w:tcPr>
          <w:p w:rsidR="00BF0D98" w:rsidRDefault="00000000">
            <w:pPr>
              <w:widowControl/>
              <w:adjustRightInd w:val="0"/>
              <w:snapToGrid w:val="0"/>
              <w:jc w:val="left"/>
              <w:rPr>
                <w:rFonts w:ascii="宋体" w:hAnsi="宋体" w:cs="宋体" w:hint="eastAsia"/>
                <w:kern w:val="0"/>
                <w:sz w:val="24"/>
                <w:szCs w:val="24"/>
              </w:rPr>
            </w:pPr>
            <w:r>
              <w:rPr>
                <w:rFonts w:ascii="宋体" w:hAnsi="宋体" w:cs="宋体" w:hint="eastAsia"/>
                <w:kern w:val="0"/>
                <w:sz w:val="24"/>
                <w:szCs w:val="24"/>
              </w:rPr>
              <w:t>五、2024年末地方政府一般债务余额</w:t>
            </w:r>
          </w:p>
        </w:tc>
        <w:tc>
          <w:tcPr>
            <w:tcW w:w="1603"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172.24</w:t>
            </w:r>
          </w:p>
        </w:tc>
        <w:tc>
          <w:tcPr>
            <w:tcW w:w="2409" w:type="dxa"/>
          </w:tcPr>
          <w:p w:rsidR="00BF0D98" w:rsidRDefault="00000000">
            <w:pPr>
              <w:spacing w:line="600" w:lineRule="exact"/>
              <w:ind w:firstLineChars="200" w:firstLine="480"/>
              <w:jc w:val="right"/>
              <w:rPr>
                <w:rFonts w:ascii="Times New Roman" w:eastAsia="方正仿宋_GBK" w:hAnsi="Times New Roman"/>
                <w:sz w:val="24"/>
                <w:szCs w:val="24"/>
              </w:rPr>
            </w:pPr>
            <w:r>
              <w:rPr>
                <w:rFonts w:ascii="Times New Roman" w:eastAsia="方正仿宋_GBK" w:hAnsi="Times New Roman"/>
                <w:sz w:val="24"/>
                <w:szCs w:val="24"/>
              </w:rPr>
              <w:t>172.24</w:t>
            </w:r>
          </w:p>
        </w:tc>
      </w:tr>
    </w:tbl>
    <w:p w:rsidR="00BF0D98" w:rsidRDefault="00000000">
      <w:pPr>
        <w:adjustRightInd w:val="0"/>
        <w:snapToGrid w:val="0"/>
        <w:jc w:val="left"/>
        <w:rPr>
          <w:rFonts w:ascii="方正楷体_GBK" w:eastAsia="方正楷体_GBK" w:hAnsi="Times New Roman"/>
          <w:sz w:val="24"/>
          <w:szCs w:val="24"/>
        </w:rPr>
      </w:pPr>
      <w:r>
        <w:rPr>
          <w:rFonts w:ascii="方正楷体_GBK" w:eastAsia="方正楷体_GBK" w:hAnsi="Times New Roman" w:hint="eastAsia"/>
          <w:sz w:val="24"/>
          <w:szCs w:val="24"/>
        </w:rPr>
        <w:t>注：1.本表反映本级政府上两年度一般债务余额，上一年度一般债务限额、发行额、还本支出及余额，本年度财政赤字及一般债务限额。</w:t>
      </w:r>
    </w:p>
    <w:p w:rsidR="00BF0D98" w:rsidRDefault="00000000">
      <w:pPr>
        <w:adjustRightInd w:val="0"/>
        <w:snapToGrid w:val="0"/>
        <w:jc w:val="left"/>
        <w:rPr>
          <w:rFonts w:ascii="方正楷体_GBK" w:eastAsia="方正楷体_GBK" w:hAnsi="Times New Roman"/>
          <w:sz w:val="24"/>
          <w:szCs w:val="24"/>
        </w:rPr>
      </w:pPr>
      <w:r>
        <w:rPr>
          <w:rFonts w:ascii="方正楷体_GBK" w:eastAsia="方正楷体_GBK" w:hAnsi="Times New Roman" w:hint="eastAsia"/>
          <w:sz w:val="24"/>
          <w:szCs w:val="24"/>
        </w:rPr>
        <w:t>2.本表由县级以上地方各级财政部门在本级人民代表大会批准预算后二十日内公开。</w:t>
      </w:r>
    </w:p>
    <w:p w:rsidR="00BF0D98" w:rsidRDefault="00BF0D98">
      <w:pPr>
        <w:widowControl/>
        <w:jc w:val="left"/>
        <w:rPr>
          <w:rFonts w:ascii="方正黑体_GBK" w:eastAsia="方正黑体_GBK" w:hAnsi="Times New Roman"/>
          <w:sz w:val="32"/>
          <w:szCs w:val="32"/>
        </w:rPr>
      </w:pPr>
    </w:p>
    <w:p w:rsidR="00BF0D98" w:rsidRDefault="00000000">
      <w:pPr>
        <w:widowControl/>
        <w:jc w:val="left"/>
        <w:rPr>
          <w:rFonts w:ascii="方正黑体_GBK" w:eastAsia="方正黑体_GBK" w:hAnsi="Times New Roman"/>
          <w:sz w:val="32"/>
          <w:szCs w:val="32"/>
        </w:rPr>
      </w:pPr>
      <w:r>
        <w:rPr>
          <w:rFonts w:ascii="方正黑体_GBK" w:eastAsia="方正黑体_GBK" w:hAnsi="Times New Roman"/>
          <w:sz w:val="32"/>
          <w:szCs w:val="32"/>
        </w:rPr>
        <w:br w:type="page"/>
      </w: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表22</w:t>
      </w:r>
    </w:p>
    <w:p w:rsidR="00BF0D98" w:rsidRDefault="00BF0D98">
      <w:pPr>
        <w:adjustRightInd w:val="0"/>
        <w:snapToGrid w:val="0"/>
        <w:spacing w:line="600" w:lineRule="exact"/>
        <w:jc w:val="center"/>
        <w:rPr>
          <w:rFonts w:ascii="方正小标宋_GBK" w:eastAsia="方正小标宋_GBK" w:hAnsi="Times New Roman"/>
          <w:sz w:val="44"/>
          <w:szCs w:val="44"/>
        </w:rPr>
      </w:pPr>
    </w:p>
    <w:p w:rsidR="00BF0D98" w:rsidRDefault="00000000">
      <w:pPr>
        <w:adjustRightInd w:val="0"/>
        <w:snapToGrid w:val="0"/>
        <w:spacing w:line="600" w:lineRule="exact"/>
        <w:jc w:val="center"/>
        <w:rPr>
          <w:rFonts w:ascii="方正小标宋_GBK" w:eastAsia="方正小标宋_GBK" w:hAnsi="Times New Roman"/>
          <w:sz w:val="36"/>
          <w:szCs w:val="36"/>
        </w:rPr>
      </w:pPr>
      <w:r>
        <w:rPr>
          <w:rFonts w:ascii="方正小标宋_GBK" w:eastAsia="方正小标宋_GBK" w:hAnsi="Times New Roman" w:hint="eastAsia"/>
          <w:sz w:val="36"/>
          <w:szCs w:val="36"/>
        </w:rPr>
        <w:t>2023年和2024年专项债务余额情况表</w:t>
      </w:r>
    </w:p>
    <w:p w:rsidR="00BF0D98" w:rsidRDefault="00BF0D98">
      <w:pPr>
        <w:adjustRightInd w:val="0"/>
        <w:snapToGrid w:val="0"/>
        <w:jc w:val="right"/>
        <w:rPr>
          <w:rFonts w:ascii="方正楷体_GBK" w:eastAsia="方正楷体_GBK" w:hAnsi="Times New Roman"/>
          <w:sz w:val="24"/>
          <w:szCs w:val="24"/>
        </w:rPr>
      </w:pPr>
    </w:p>
    <w:p w:rsidR="00BF0D98" w:rsidRDefault="00000000" w:rsidP="009A3D02">
      <w:pPr>
        <w:adjustRightInd w:val="0"/>
        <w:snapToGrid w:val="0"/>
        <w:ind w:rightChars="-243" w:right="-510"/>
        <w:jc w:val="right"/>
        <w:rPr>
          <w:rFonts w:ascii="方正楷体_GBK" w:eastAsia="方正楷体_GBK" w:hAnsi="Times New Roman"/>
          <w:sz w:val="24"/>
          <w:szCs w:val="24"/>
        </w:rPr>
      </w:pPr>
      <w:r>
        <w:rPr>
          <w:rFonts w:ascii="方正楷体_GBK" w:eastAsia="方正楷体_GBK" w:hAnsi="Times New Roman" w:hint="eastAsia"/>
          <w:sz w:val="24"/>
          <w:szCs w:val="24"/>
        </w:rPr>
        <w:t>单位：亿元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1799"/>
        <w:gridCol w:w="1843"/>
      </w:tblGrid>
      <w:tr w:rsidR="00BF0D98" w:rsidRPr="009A3D02">
        <w:trPr>
          <w:trHeight w:val="459"/>
        </w:trPr>
        <w:tc>
          <w:tcPr>
            <w:tcW w:w="5680" w:type="dxa"/>
            <w:vAlign w:val="center"/>
          </w:tcPr>
          <w:p w:rsidR="00BF0D98" w:rsidRPr="009A3D02" w:rsidRDefault="00000000">
            <w:pPr>
              <w:widowControl/>
              <w:jc w:val="center"/>
              <w:rPr>
                <w:rFonts w:ascii="方正黑体_GBK" w:eastAsia="方正黑体_GBK" w:hAnsi="等线" w:cs="宋体" w:hint="eastAsia"/>
                <w:kern w:val="0"/>
                <w:sz w:val="24"/>
                <w:szCs w:val="24"/>
              </w:rPr>
            </w:pPr>
            <w:r w:rsidRPr="009A3D02">
              <w:rPr>
                <w:rFonts w:ascii="方正黑体_GBK" w:eastAsia="方正黑体_GBK" w:hAnsi="等线" w:cs="宋体" w:hint="eastAsia"/>
                <w:kern w:val="0"/>
                <w:sz w:val="24"/>
                <w:szCs w:val="24"/>
              </w:rPr>
              <w:t>项    目</w:t>
            </w:r>
          </w:p>
        </w:tc>
        <w:tc>
          <w:tcPr>
            <w:tcW w:w="1799" w:type="dxa"/>
            <w:vAlign w:val="center"/>
          </w:tcPr>
          <w:p w:rsidR="00BF0D98" w:rsidRPr="009A3D02" w:rsidRDefault="00000000">
            <w:pPr>
              <w:widowControl/>
              <w:jc w:val="center"/>
              <w:rPr>
                <w:rFonts w:ascii="方正黑体_GBK" w:eastAsia="方正黑体_GBK" w:hAnsi="等线" w:cs="宋体" w:hint="eastAsia"/>
                <w:kern w:val="0"/>
                <w:sz w:val="24"/>
                <w:szCs w:val="24"/>
              </w:rPr>
            </w:pPr>
            <w:r w:rsidRPr="009A3D02">
              <w:rPr>
                <w:rFonts w:ascii="方正黑体_GBK" w:eastAsia="方正黑体_GBK" w:hAnsi="等线" w:cs="宋体" w:hint="eastAsia"/>
                <w:kern w:val="0"/>
                <w:sz w:val="24"/>
                <w:szCs w:val="24"/>
              </w:rPr>
              <w:t>预算数</w:t>
            </w:r>
          </w:p>
        </w:tc>
        <w:tc>
          <w:tcPr>
            <w:tcW w:w="1843" w:type="dxa"/>
            <w:vAlign w:val="center"/>
          </w:tcPr>
          <w:p w:rsidR="00BF0D98" w:rsidRPr="009A3D02" w:rsidRDefault="00000000">
            <w:pPr>
              <w:widowControl/>
              <w:jc w:val="center"/>
              <w:rPr>
                <w:rFonts w:ascii="方正黑体_GBK" w:eastAsia="方正黑体_GBK" w:hAnsi="等线" w:cs="宋体" w:hint="eastAsia"/>
                <w:kern w:val="0"/>
                <w:sz w:val="24"/>
                <w:szCs w:val="24"/>
              </w:rPr>
            </w:pPr>
            <w:r w:rsidRPr="009A3D02">
              <w:rPr>
                <w:rFonts w:ascii="方正黑体_GBK" w:eastAsia="方正黑体_GBK" w:hAnsi="等线" w:cs="宋体" w:hint="eastAsia"/>
                <w:kern w:val="0"/>
                <w:sz w:val="24"/>
                <w:szCs w:val="24"/>
              </w:rPr>
              <w:t>决算数</w:t>
            </w:r>
          </w:p>
        </w:tc>
      </w:tr>
      <w:tr w:rsidR="00BF0D98" w:rsidRPr="009A3D02">
        <w:trPr>
          <w:trHeight w:val="459"/>
        </w:trPr>
        <w:tc>
          <w:tcPr>
            <w:tcW w:w="5680" w:type="dxa"/>
            <w:vAlign w:val="center"/>
          </w:tcPr>
          <w:p w:rsidR="00BF0D98" w:rsidRPr="009A3D02" w:rsidRDefault="00000000">
            <w:pPr>
              <w:widowControl/>
              <w:jc w:val="left"/>
              <w:rPr>
                <w:rFonts w:ascii="宋体" w:hAnsi="宋体" w:cs="宋体" w:hint="eastAsia"/>
                <w:kern w:val="0"/>
                <w:sz w:val="24"/>
                <w:szCs w:val="24"/>
              </w:rPr>
            </w:pPr>
            <w:r w:rsidRPr="009A3D02">
              <w:rPr>
                <w:rFonts w:ascii="宋体" w:hAnsi="宋体" w:cs="宋体" w:hint="eastAsia"/>
                <w:kern w:val="0"/>
                <w:sz w:val="24"/>
                <w:szCs w:val="24"/>
              </w:rPr>
              <w:t>一、2023年末地方政府专项债务余额实际数</w:t>
            </w:r>
          </w:p>
        </w:tc>
        <w:tc>
          <w:tcPr>
            <w:tcW w:w="1799"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474.5</w:t>
            </w:r>
          </w:p>
        </w:tc>
        <w:tc>
          <w:tcPr>
            <w:tcW w:w="1843"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474.5</w:t>
            </w:r>
          </w:p>
        </w:tc>
      </w:tr>
      <w:tr w:rsidR="00BF0D98" w:rsidRPr="009A3D02">
        <w:trPr>
          <w:trHeight w:val="459"/>
        </w:trPr>
        <w:tc>
          <w:tcPr>
            <w:tcW w:w="5680" w:type="dxa"/>
            <w:vAlign w:val="center"/>
          </w:tcPr>
          <w:p w:rsidR="00BF0D98" w:rsidRPr="009A3D02" w:rsidRDefault="00000000">
            <w:pPr>
              <w:widowControl/>
              <w:jc w:val="left"/>
              <w:rPr>
                <w:rFonts w:ascii="宋体" w:hAnsi="宋体" w:cs="宋体" w:hint="eastAsia"/>
                <w:kern w:val="0"/>
                <w:sz w:val="24"/>
                <w:szCs w:val="24"/>
              </w:rPr>
            </w:pPr>
            <w:r w:rsidRPr="009A3D02">
              <w:rPr>
                <w:rFonts w:ascii="宋体" w:hAnsi="宋体" w:cs="宋体" w:hint="eastAsia"/>
                <w:kern w:val="0"/>
                <w:sz w:val="24"/>
                <w:szCs w:val="24"/>
              </w:rPr>
              <w:t>二、2024年末地方政府专项债务限额</w:t>
            </w:r>
          </w:p>
        </w:tc>
        <w:tc>
          <w:tcPr>
            <w:tcW w:w="1799"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584.6</w:t>
            </w:r>
          </w:p>
        </w:tc>
        <w:tc>
          <w:tcPr>
            <w:tcW w:w="1843"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584.6</w:t>
            </w:r>
          </w:p>
        </w:tc>
      </w:tr>
      <w:tr w:rsidR="00BF0D98" w:rsidRPr="009A3D02">
        <w:trPr>
          <w:trHeight w:val="459"/>
        </w:trPr>
        <w:tc>
          <w:tcPr>
            <w:tcW w:w="5680" w:type="dxa"/>
            <w:vAlign w:val="center"/>
          </w:tcPr>
          <w:p w:rsidR="00BF0D98" w:rsidRPr="009A3D02" w:rsidRDefault="00000000">
            <w:pPr>
              <w:widowControl/>
              <w:jc w:val="left"/>
              <w:rPr>
                <w:rFonts w:ascii="宋体" w:hAnsi="宋体" w:cs="宋体" w:hint="eastAsia"/>
                <w:kern w:val="0"/>
                <w:sz w:val="24"/>
                <w:szCs w:val="24"/>
              </w:rPr>
            </w:pPr>
            <w:r w:rsidRPr="009A3D02">
              <w:rPr>
                <w:rFonts w:ascii="宋体" w:hAnsi="宋体" w:cs="宋体" w:hint="eastAsia"/>
                <w:kern w:val="0"/>
                <w:sz w:val="24"/>
                <w:szCs w:val="24"/>
              </w:rPr>
              <w:t>三、2024年地方政府专项债务发行额</w:t>
            </w:r>
          </w:p>
        </w:tc>
        <w:tc>
          <w:tcPr>
            <w:tcW w:w="1799"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127.59</w:t>
            </w:r>
          </w:p>
        </w:tc>
        <w:tc>
          <w:tcPr>
            <w:tcW w:w="1843"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127.59</w:t>
            </w:r>
          </w:p>
        </w:tc>
      </w:tr>
      <w:tr w:rsidR="00BF0D98" w:rsidRPr="009A3D02">
        <w:trPr>
          <w:trHeight w:val="459"/>
        </w:trPr>
        <w:tc>
          <w:tcPr>
            <w:tcW w:w="5680" w:type="dxa"/>
            <w:vAlign w:val="center"/>
          </w:tcPr>
          <w:p w:rsidR="00BF0D98" w:rsidRPr="009A3D02" w:rsidRDefault="00000000">
            <w:pPr>
              <w:widowControl/>
              <w:jc w:val="left"/>
              <w:rPr>
                <w:rFonts w:ascii="宋体" w:hAnsi="宋体" w:cs="宋体" w:hint="eastAsia"/>
                <w:kern w:val="0"/>
                <w:sz w:val="24"/>
                <w:szCs w:val="24"/>
              </w:rPr>
            </w:pPr>
            <w:r w:rsidRPr="009A3D02">
              <w:rPr>
                <w:rFonts w:ascii="宋体" w:hAnsi="宋体" w:cs="宋体" w:hint="eastAsia"/>
                <w:kern w:val="0"/>
                <w:sz w:val="24"/>
                <w:szCs w:val="24"/>
              </w:rPr>
              <w:t>四、2024年地方政府专项债务还本支出</w:t>
            </w:r>
          </w:p>
        </w:tc>
        <w:tc>
          <w:tcPr>
            <w:tcW w:w="1799"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35.46</w:t>
            </w:r>
          </w:p>
        </w:tc>
        <w:tc>
          <w:tcPr>
            <w:tcW w:w="1843"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35.46</w:t>
            </w:r>
          </w:p>
        </w:tc>
      </w:tr>
      <w:tr w:rsidR="00BF0D98" w:rsidRPr="009A3D02">
        <w:trPr>
          <w:trHeight w:val="459"/>
        </w:trPr>
        <w:tc>
          <w:tcPr>
            <w:tcW w:w="5680" w:type="dxa"/>
            <w:vAlign w:val="center"/>
          </w:tcPr>
          <w:p w:rsidR="00BF0D98" w:rsidRPr="009A3D02" w:rsidRDefault="00000000">
            <w:pPr>
              <w:widowControl/>
              <w:jc w:val="left"/>
              <w:rPr>
                <w:rFonts w:ascii="宋体" w:hAnsi="宋体" w:cs="宋体" w:hint="eastAsia"/>
                <w:kern w:val="0"/>
                <w:sz w:val="24"/>
                <w:szCs w:val="24"/>
              </w:rPr>
            </w:pPr>
            <w:r w:rsidRPr="009A3D02">
              <w:rPr>
                <w:rFonts w:ascii="宋体" w:hAnsi="宋体" w:cs="宋体" w:hint="eastAsia"/>
                <w:kern w:val="0"/>
                <w:sz w:val="24"/>
                <w:szCs w:val="24"/>
              </w:rPr>
              <w:t>五、2024年末地方政府专项债务余额</w:t>
            </w:r>
          </w:p>
        </w:tc>
        <w:tc>
          <w:tcPr>
            <w:tcW w:w="1799"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584.60</w:t>
            </w:r>
          </w:p>
        </w:tc>
        <w:tc>
          <w:tcPr>
            <w:tcW w:w="1843" w:type="dxa"/>
          </w:tcPr>
          <w:p w:rsidR="00BF0D98" w:rsidRPr="009A3D02" w:rsidRDefault="00000000">
            <w:pPr>
              <w:spacing w:line="600" w:lineRule="exact"/>
              <w:ind w:firstLineChars="200" w:firstLine="480"/>
              <w:jc w:val="right"/>
              <w:rPr>
                <w:rFonts w:ascii="Times New Roman" w:eastAsia="方正仿宋_GBK" w:hAnsi="Times New Roman"/>
                <w:sz w:val="24"/>
                <w:szCs w:val="24"/>
              </w:rPr>
            </w:pPr>
            <w:r w:rsidRPr="009A3D02">
              <w:rPr>
                <w:rFonts w:ascii="Times New Roman" w:eastAsia="方正仿宋_GBK" w:hAnsi="Times New Roman"/>
                <w:sz w:val="24"/>
                <w:szCs w:val="24"/>
              </w:rPr>
              <w:t>584.60</w:t>
            </w:r>
          </w:p>
        </w:tc>
      </w:tr>
    </w:tbl>
    <w:p w:rsidR="00BF0D98" w:rsidRDefault="00000000">
      <w:pPr>
        <w:adjustRightInd w:val="0"/>
        <w:snapToGrid w:val="0"/>
        <w:jc w:val="left"/>
        <w:rPr>
          <w:rFonts w:ascii="方正楷体_GBK" w:eastAsia="方正楷体_GBK" w:hAnsi="Times New Roman"/>
          <w:sz w:val="24"/>
          <w:szCs w:val="24"/>
        </w:rPr>
      </w:pPr>
      <w:r>
        <w:rPr>
          <w:rFonts w:ascii="方正楷体_GBK" w:eastAsia="方正楷体_GBK" w:hAnsi="Times New Roman" w:hint="eastAsia"/>
          <w:sz w:val="24"/>
          <w:szCs w:val="24"/>
        </w:rPr>
        <w:t>注：1.本表反映本级政府上两年度专项债务余额，上一年度专项债务限额、发行额、还本额及余额，本年度专项债务新增限额及限额。</w:t>
      </w:r>
    </w:p>
    <w:p w:rsidR="00BF0D98" w:rsidRDefault="00000000">
      <w:pPr>
        <w:adjustRightInd w:val="0"/>
        <w:snapToGrid w:val="0"/>
        <w:jc w:val="left"/>
        <w:rPr>
          <w:rFonts w:ascii="方正楷体_GBK" w:eastAsia="方正楷体_GBK" w:hAnsi="Times New Roman"/>
          <w:sz w:val="24"/>
          <w:szCs w:val="24"/>
        </w:rPr>
      </w:pPr>
      <w:r>
        <w:rPr>
          <w:rFonts w:ascii="方正楷体_GBK" w:eastAsia="方正楷体_GBK" w:hAnsi="Times New Roman" w:hint="eastAsia"/>
          <w:sz w:val="24"/>
          <w:szCs w:val="24"/>
        </w:rPr>
        <w:t>2.本表由县级以上地方各级财政部门在本级人民代表大会批准预算后二十日内公开。</w:t>
      </w:r>
    </w:p>
    <w:bookmarkEnd w:id="8"/>
    <w:p w:rsidR="00BF0D98" w:rsidRDefault="00000000">
      <w:pPr>
        <w:widowControl/>
        <w:jc w:val="left"/>
        <w:rPr>
          <w:rFonts w:ascii="方正黑体_GBK" w:eastAsia="方正黑体_GBK" w:hAnsi="Times New Roman"/>
          <w:sz w:val="32"/>
        </w:rPr>
        <w:sectPr w:rsidR="00BF0D98">
          <w:pgSz w:w="11906" w:h="16838"/>
          <w:pgMar w:top="2098" w:right="1531" w:bottom="1985" w:left="1531" w:header="851" w:footer="1531" w:gutter="0"/>
          <w:cols w:space="425"/>
          <w:docGrid w:type="lines" w:linePitch="435"/>
        </w:sectPr>
      </w:pPr>
      <w:r>
        <w:rPr>
          <w:rFonts w:ascii="方正黑体_GBK" w:eastAsia="方正黑体_GBK" w:hAnsi="Times New Roman"/>
          <w:sz w:val="32"/>
        </w:rPr>
        <w:br w:type="page"/>
      </w:r>
    </w:p>
    <w:p w:rsidR="00BF0D98" w:rsidRDefault="00000000" w:rsidP="00D41AA8">
      <w:pPr>
        <w:spacing w:line="600" w:lineRule="exact"/>
        <w:ind w:leftChars="-337" w:left="-145" w:hangingChars="176" w:hanging="563"/>
        <w:jc w:val="left"/>
        <w:rPr>
          <w:rFonts w:ascii="方正黑体_GBK" w:eastAsia="方正黑体_GBK" w:hAnsi="Times New Roman"/>
          <w:sz w:val="32"/>
        </w:rPr>
      </w:pPr>
      <w:r>
        <w:rPr>
          <w:rFonts w:ascii="方正黑体_GBK" w:eastAsia="方正黑体_GBK" w:hAnsi="Times New Roman" w:hint="eastAsia"/>
          <w:sz w:val="32"/>
        </w:rPr>
        <w:lastRenderedPageBreak/>
        <w:t>表2</w:t>
      </w:r>
      <w:r w:rsidR="00951030">
        <w:rPr>
          <w:rFonts w:ascii="方正黑体_GBK" w:eastAsia="方正黑体_GBK" w:hAnsi="Times New Roman" w:hint="eastAsia"/>
          <w:sz w:val="32"/>
        </w:rPr>
        <w:t>3</w:t>
      </w:r>
    </w:p>
    <w:p w:rsidR="00BF0D98" w:rsidRDefault="00000000">
      <w:pPr>
        <w:spacing w:line="600" w:lineRule="exact"/>
        <w:jc w:val="center"/>
        <w:rPr>
          <w:rFonts w:ascii="Times New Roman" w:eastAsia="方正小标宋_GBK" w:hAnsi="Times New Roman"/>
          <w:sz w:val="32"/>
        </w:rPr>
      </w:pPr>
      <w:r>
        <w:rPr>
          <w:rFonts w:ascii="Times New Roman" w:eastAsia="方正小标宋_GBK" w:hAnsi="Times New Roman" w:hint="eastAsia"/>
          <w:sz w:val="36"/>
          <w:szCs w:val="24"/>
        </w:rPr>
        <w:t>2024</w:t>
      </w:r>
      <w:r>
        <w:rPr>
          <w:rFonts w:ascii="Times New Roman" w:eastAsia="方正小标宋_GBK" w:hAnsi="Times New Roman" w:hint="eastAsia"/>
          <w:sz w:val="36"/>
          <w:szCs w:val="24"/>
        </w:rPr>
        <w:t>年重庆高新区地方政府债券使用情况表</w:t>
      </w:r>
    </w:p>
    <w:p w:rsidR="00BF0D98" w:rsidRDefault="00000000" w:rsidP="009A3D02">
      <w:pPr>
        <w:spacing w:line="600" w:lineRule="exact"/>
        <w:ind w:rightChars="-541" w:right="-1136"/>
        <w:jc w:val="right"/>
        <w:rPr>
          <w:rFonts w:ascii="方正楷体_GBK" w:eastAsia="方正楷体_GBK" w:hAnsi="Times New Roman"/>
          <w:sz w:val="32"/>
        </w:rPr>
      </w:pPr>
      <w:r>
        <w:rPr>
          <w:rFonts w:ascii="方正楷体_GBK" w:eastAsia="方正楷体_GBK" w:hAnsi="Times New Roman" w:hint="eastAsia"/>
          <w:sz w:val="24"/>
          <w:szCs w:val="20"/>
        </w:rPr>
        <w:t>单位：万元</w:t>
      </w:r>
    </w:p>
    <w:tbl>
      <w:tblPr>
        <w:tblW w:w="14560" w:type="dxa"/>
        <w:tblInd w:w="-714" w:type="dxa"/>
        <w:tblLook w:val="04A0" w:firstRow="1" w:lastRow="0" w:firstColumn="1" w:lastColumn="0" w:noHBand="0" w:noVBand="1"/>
      </w:tblPr>
      <w:tblGrid>
        <w:gridCol w:w="567"/>
        <w:gridCol w:w="7097"/>
        <w:gridCol w:w="2259"/>
        <w:gridCol w:w="1701"/>
        <w:gridCol w:w="996"/>
        <w:gridCol w:w="996"/>
        <w:gridCol w:w="944"/>
      </w:tblGrid>
      <w:tr w:rsidR="00BF0D98">
        <w:trPr>
          <w:trHeight w:val="288"/>
          <w:tblHeader/>
        </w:trPr>
        <w:tc>
          <w:tcPr>
            <w:tcW w:w="567" w:type="dxa"/>
            <w:tcBorders>
              <w:top w:val="single" w:sz="4" w:space="0" w:color="auto"/>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序号</w:t>
            </w:r>
          </w:p>
        </w:tc>
        <w:tc>
          <w:tcPr>
            <w:tcW w:w="7097"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项目名称</w:t>
            </w:r>
          </w:p>
        </w:tc>
        <w:tc>
          <w:tcPr>
            <w:tcW w:w="2259"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项目领域</w:t>
            </w:r>
          </w:p>
        </w:tc>
        <w:tc>
          <w:tcPr>
            <w:tcW w:w="1701"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债券性质</w:t>
            </w:r>
          </w:p>
        </w:tc>
        <w:tc>
          <w:tcPr>
            <w:tcW w:w="996"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债券</w:t>
            </w:r>
          </w:p>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规模</w:t>
            </w:r>
          </w:p>
        </w:tc>
        <w:tc>
          <w:tcPr>
            <w:tcW w:w="996"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发行</w:t>
            </w:r>
          </w:p>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时间</w:t>
            </w:r>
          </w:p>
        </w:tc>
        <w:tc>
          <w:tcPr>
            <w:tcW w:w="944" w:type="dxa"/>
            <w:tcBorders>
              <w:top w:val="single" w:sz="4" w:space="0" w:color="auto"/>
              <w:left w:val="nil"/>
              <w:bottom w:val="single" w:sz="4" w:space="0" w:color="auto"/>
              <w:right w:val="single" w:sz="4" w:space="0" w:color="auto"/>
            </w:tcBorders>
            <w:noWrap/>
            <w:vAlign w:val="center"/>
          </w:tcPr>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拨付</w:t>
            </w:r>
          </w:p>
          <w:p w:rsidR="00BF0D98" w:rsidRDefault="00000000">
            <w:pPr>
              <w:widowControl/>
              <w:jc w:val="center"/>
              <w:rPr>
                <w:rFonts w:ascii="Times New Roman" w:eastAsia="方正黑体_GBK" w:hAnsi="Times New Roman"/>
                <w:color w:val="000000"/>
                <w:kern w:val="0"/>
                <w:sz w:val="24"/>
                <w:szCs w:val="24"/>
              </w:rPr>
            </w:pPr>
            <w:r>
              <w:rPr>
                <w:rFonts w:ascii="Times New Roman" w:eastAsia="方正黑体_GBK" w:hAnsi="Times New Roman"/>
                <w:color w:val="000000"/>
                <w:kern w:val="0"/>
                <w:sz w:val="24"/>
                <w:szCs w:val="24"/>
              </w:rPr>
              <w:t>进度</w:t>
            </w:r>
            <w:r>
              <w:rPr>
                <w:rFonts w:ascii="Times New Roman" w:eastAsia="方正黑体_GBK" w:hAnsi="Times New Roman"/>
                <w:color w:val="000000"/>
                <w:kern w:val="0"/>
                <w:sz w:val="24"/>
                <w:szCs w:val="24"/>
              </w:rPr>
              <w:t>%</w:t>
            </w:r>
          </w:p>
        </w:tc>
      </w:tr>
      <w:tr w:rsidR="00BF0D98">
        <w:trPr>
          <w:trHeight w:val="288"/>
        </w:trPr>
        <w:tc>
          <w:tcPr>
            <w:tcW w:w="11624" w:type="dxa"/>
            <w:gridSpan w:val="4"/>
            <w:tcBorders>
              <w:top w:val="single" w:sz="4" w:space="0" w:color="auto"/>
              <w:left w:val="single" w:sz="4" w:space="0" w:color="auto"/>
              <w:bottom w:val="single" w:sz="4" w:space="0" w:color="auto"/>
              <w:right w:val="single" w:sz="4" w:space="0" w:color="000000"/>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合计</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871,000</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11624" w:type="dxa"/>
            <w:gridSpan w:val="4"/>
            <w:tcBorders>
              <w:top w:val="single" w:sz="4" w:space="0" w:color="auto"/>
              <w:left w:val="single" w:sz="4" w:space="0" w:color="auto"/>
              <w:bottom w:val="single" w:sz="4" w:space="0" w:color="auto"/>
              <w:right w:val="single" w:sz="4" w:space="0" w:color="000000"/>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新增一般债券小计</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16,500</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c>
          <w:tcPr>
            <w:tcW w:w="94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西部（重庆）科学城中小学建设二期</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教育</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新增一般债券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15,000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西部（重庆）科学城市政基础设施建设改造及品质提升工程</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其他市政建设</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新增一般债券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1,500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11624" w:type="dxa"/>
            <w:gridSpan w:val="4"/>
            <w:tcBorders>
              <w:top w:val="single" w:sz="4" w:space="0" w:color="auto"/>
              <w:left w:val="single" w:sz="4" w:space="0" w:color="auto"/>
              <w:bottom w:val="single" w:sz="4" w:space="0" w:color="auto"/>
              <w:right w:val="single" w:sz="4" w:space="0" w:color="000000"/>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新增专项债券小计</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854,500</w:t>
            </w:r>
          </w:p>
        </w:tc>
        <w:tc>
          <w:tcPr>
            <w:tcW w:w="996"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c>
          <w:tcPr>
            <w:tcW w:w="944" w:type="dxa"/>
            <w:tcBorders>
              <w:top w:val="nil"/>
              <w:left w:val="nil"/>
              <w:bottom w:val="single" w:sz="4" w:space="0" w:color="auto"/>
              <w:right w:val="single" w:sz="4" w:space="0" w:color="auto"/>
            </w:tcBorders>
            <w:noWrap/>
            <w:vAlign w:val="center"/>
          </w:tcPr>
          <w:p w:rsidR="00BF0D98" w:rsidRDefault="00BF0D98">
            <w:pPr>
              <w:widowControl/>
              <w:jc w:val="right"/>
              <w:rPr>
                <w:rFonts w:ascii="Times New Roman" w:eastAsia="等线" w:hAnsi="Times New Roman"/>
                <w:color w:val="000000"/>
                <w:kern w:val="0"/>
                <w:sz w:val="24"/>
                <w:szCs w:val="24"/>
              </w:rPr>
            </w:pP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101,000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西部（重庆）科学城科技创新产业园示范区建设项目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28,000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西部（重庆）科学城生命芯谷二期建设项目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7,000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西部（重庆）科学城环寨山坪产业带三期建设项目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26,000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5</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环寨山坪产业带项目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6</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西部（重庆）科学城生命芯谷一期建设项目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22,000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7</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含谷智能制造产业园区项目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11,000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8</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重庆科学城产业园区建设项目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34,000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9</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10</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42,000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11</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西部（重庆）科学城生命科技融合创新产业园一期建设项目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108,000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12</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13,500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13</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科学城南部产业园区提升项目一期</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14</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24,500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15</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33,000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16</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12,000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2024.02</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17</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西永微电园信息产业基地及周边基础设施建设项目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4,600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18</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西永综合保税区进口整车展示存储中心及周边配套工程</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6,700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19</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西永微电园片区标准厂房及其配套设施建设项目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3,700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20</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环寨山坪产业带项目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5,000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21</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重庆科学城产业园区建设项目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7,000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22</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1,400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23</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12,000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24</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25</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西部（重庆）科学城环寨山坪产业带三期建设项目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9,600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26</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11,000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27</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西部（重庆）科学城生命科技融合创新产业园一期建设项目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28</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58,000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29</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30</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14,000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31</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32</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科学城南部产业园区提升项目一期</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1,600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33</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西部（重庆）科学城生命芯谷一期建设项目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7,000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34</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9,400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2024.08</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35</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西永微电园信息产业基地及周边基础设施建设项目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7,900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36</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西永综合保税区进口整车展示存储中心及周边配套工程</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4,900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37</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西永微电园片区标准厂房及其配套设施建设项目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600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38</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环寨山坪产业带项目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39</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重庆科学城产业园区建设项目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19,000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40</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科学城南部产业园区提升项目一期</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41</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23,000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42</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西部（重庆）科学城新一代信息技术产业园示范区建设项目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43</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西部（重庆）科学城科技创新产业园示范区建设项目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7,000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44</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24,000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45</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西部（重庆）科学城环寨山坪产业带三期建设项目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9,000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46</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47</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西部（重庆）科学城生命科技融合创新产业园一期建设项目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19,000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48</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5,000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49</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西部（重庆）科学城新一代信息技术产业园一期建设项目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50</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西部（重庆）科学城环寨山坪产业带二期建设项目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3,000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51</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西部（重庆）科学城高技术服务产业园一期建设项目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52</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西部（重庆）科学城科技创新产业园一期建设项目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4,000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2024.09</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r w:rsidR="00BF0D98">
        <w:trPr>
          <w:trHeight w:val="288"/>
        </w:trPr>
        <w:tc>
          <w:tcPr>
            <w:tcW w:w="567" w:type="dxa"/>
            <w:tcBorders>
              <w:top w:val="nil"/>
              <w:left w:val="single" w:sz="4" w:space="0" w:color="auto"/>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53</w:t>
            </w:r>
          </w:p>
        </w:tc>
        <w:tc>
          <w:tcPr>
            <w:tcW w:w="7097" w:type="dxa"/>
            <w:tcBorders>
              <w:top w:val="nil"/>
              <w:left w:val="nil"/>
              <w:bottom w:val="single" w:sz="4" w:space="0" w:color="auto"/>
              <w:right w:val="single" w:sz="4" w:space="0" w:color="auto"/>
            </w:tcBorders>
            <w:noWrap/>
            <w:vAlign w:val="center"/>
          </w:tcPr>
          <w:p w:rsidR="00BF0D98" w:rsidRDefault="00000000">
            <w:pPr>
              <w:widowControl/>
              <w:jc w:val="left"/>
              <w:rPr>
                <w:rFonts w:ascii="Times New Roman" w:hAnsi="Times New Roman"/>
                <w:color w:val="000000"/>
                <w:kern w:val="0"/>
                <w:sz w:val="24"/>
                <w:szCs w:val="24"/>
              </w:rPr>
            </w:pPr>
            <w:r>
              <w:rPr>
                <w:rFonts w:ascii="Times New Roman" w:hAnsi="Times New Roman"/>
                <w:color w:val="000000"/>
                <w:kern w:val="0"/>
                <w:sz w:val="24"/>
                <w:szCs w:val="24"/>
              </w:rPr>
              <w:t>西部（重庆）科学城大健康产业园二期建设项目</w:t>
            </w:r>
          </w:p>
        </w:tc>
        <w:tc>
          <w:tcPr>
            <w:tcW w:w="2259"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产业园区基础设施</w:t>
            </w:r>
          </w:p>
        </w:tc>
        <w:tc>
          <w:tcPr>
            <w:tcW w:w="1701" w:type="dxa"/>
            <w:tcBorders>
              <w:top w:val="nil"/>
              <w:left w:val="nil"/>
              <w:bottom w:val="single" w:sz="4" w:space="0" w:color="auto"/>
              <w:right w:val="single" w:sz="4" w:space="0" w:color="auto"/>
            </w:tcBorders>
            <w:noWrap/>
            <w:vAlign w:val="center"/>
          </w:tcPr>
          <w:p w:rsidR="00BF0D98" w:rsidRDefault="00000000">
            <w:pPr>
              <w:widowControl/>
              <w:jc w:val="center"/>
              <w:rPr>
                <w:rFonts w:ascii="Times New Roman" w:hAnsi="Times New Roman"/>
                <w:color w:val="000000"/>
                <w:kern w:val="0"/>
                <w:sz w:val="24"/>
                <w:szCs w:val="24"/>
              </w:rPr>
            </w:pPr>
            <w:r>
              <w:rPr>
                <w:rFonts w:ascii="Times New Roman" w:hAnsi="Times New Roman"/>
                <w:color w:val="000000"/>
                <w:kern w:val="0"/>
                <w:sz w:val="24"/>
                <w:szCs w:val="24"/>
              </w:rPr>
              <w:t>新增专项债券</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41,100</w:t>
            </w:r>
          </w:p>
        </w:tc>
        <w:tc>
          <w:tcPr>
            <w:tcW w:w="996"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2024.10</w:t>
            </w:r>
          </w:p>
        </w:tc>
        <w:tc>
          <w:tcPr>
            <w:tcW w:w="944" w:type="dxa"/>
            <w:tcBorders>
              <w:top w:val="nil"/>
              <w:left w:val="nil"/>
              <w:bottom w:val="single" w:sz="4" w:space="0" w:color="auto"/>
              <w:right w:val="single" w:sz="4" w:space="0" w:color="auto"/>
            </w:tcBorders>
            <w:noWrap/>
            <w:vAlign w:val="center"/>
          </w:tcPr>
          <w:p w:rsidR="00BF0D98" w:rsidRDefault="00000000">
            <w:pPr>
              <w:widowControl/>
              <w:jc w:val="right"/>
              <w:rPr>
                <w:rFonts w:ascii="Times New Roman" w:eastAsia="等线" w:hAnsi="Times New Roman"/>
                <w:color w:val="000000"/>
                <w:kern w:val="0"/>
                <w:sz w:val="24"/>
                <w:szCs w:val="24"/>
              </w:rPr>
            </w:pPr>
            <w:r>
              <w:rPr>
                <w:rFonts w:ascii="Times New Roman" w:eastAsia="等线" w:hAnsi="Times New Roman"/>
                <w:color w:val="000000"/>
                <w:kern w:val="0"/>
                <w:sz w:val="24"/>
                <w:szCs w:val="24"/>
              </w:rPr>
              <w:t>100%</w:t>
            </w:r>
          </w:p>
        </w:tc>
      </w:tr>
    </w:tbl>
    <w:p w:rsidR="00BF0D98" w:rsidRDefault="00BF0D98">
      <w:pPr>
        <w:spacing w:line="600" w:lineRule="exact"/>
        <w:jc w:val="left"/>
        <w:rPr>
          <w:rFonts w:ascii="Times New Roman" w:eastAsia="方正小标宋_GBK" w:hAnsi="Times New Roman"/>
          <w:sz w:val="32"/>
        </w:rPr>
      </w:pPr>
    </w:p>
    <w:p w:rsidR="00BF0D98" w:rsidRDefault="00BF0D98">
      <w:pPr>
        <w:spacing w:line="600" w:lineRule="exact"/>
        <w:jc w:val="left"/>
        <w:rPr>
          <w:rFonts w:ascii="Times New Roman" w:eastAsia="方正小标宋_GBK" w:hAnsi="Times New Roman"/>
          <w:color w:val="0D0D0D"/>
          <w:sz w:val="32"/>
        </w:rPr>
      </w:pPr>
    </w:p>
    <w:p w:rsidR="00BF0D98" w:rsidRDefault="00BF0D98">
      <w:pPr>
        <w:spacing w:line="600" w:lineRule="exact"/>
        <w:jc w:val="left"/>
        <w:rPr>
          <w:rFonts w:ascii="Times New Roman" w:eastAsia="方正小标宋_GBK" w:hAnsi="Times New Roman"/>
          <w:color w:val="0D0D0D"/>
          <w:sz w:val="32"/>
        </w:rPr>
        <w:sectPr w:rsidR="00BF0D98">
          <w:pgSz w:w="16838" w:h="11906" w:orient="landscape"/>
          <w:pgMar w:top="1531" w:right="2098" w:bottom="1531" w:left="1985" w:header="851" w:footer="1531" w:gutter="0"/>
          <w:cols w:space="425"/>
          <w:docGrid w:type="lines" w:linePitch="435"/>
        </w:sectPr>
      </w:pPr>
    </w:p>
    <w:p w:rsidR="00BF0D98" w:rsidRDefault="00000000">
      <w:pPr>
        <w:adjustRightInd w:val="0"/>
        <w:snapToGrid w:val="0"/>
        <w:spacing w:line="600" w:lineRule="exact"/>
        <w:jc w:val="left"/>
        <w:rPr>
          <w:rFonts w:ascii="方正黑体_GBK" w:eastAsia="方正黑体_GBK" w:hAnsi="Times New Roman"/>
          <w:sz w:val="32"/>
          <w:szCs w:val="32"/>
        </w:rPr>
      </w:pPr>
      <w:r>
        <w:rPr>
          <w:rFonts w:ascii="方正黑体_GBK" w:eastAsia="方正黑体_GBK" w:hAnsi="Times New Roman" w:hint="eastAsia"/>
          <w:sz w:val="32"/>
          <w:szCs w:val="32"/>
        </w:rPr>
        <w:lastRenderedPageBreak/>
        <w:t>表2</w:t>
      </w:r>
      <w:r w:rsidR="00951030">
        <w:rPr>
          <w:rFonts w:ascii="方正黑体_GBK" w:eastAsia="方正黑体_GBK" w:hAnsi="Times New Roman" w:hint="eastAsia"/>
          <w:sz w:val="32"/>
          <w:szCs w:val="32"/>
        </w:rPr>
        <w:t>4</w:t>
      </w:r>
    </w:p>
    <w:p w:rsidR="00BF0D98" w:rsidRDefault="00000000">
      <w:pPr>
        <w:adjustRightInd w:val="0"/>
        <w:snapToGrid w:val="0"/>
        <w:jc w:val="center"/>
        <w:rPr>
          <w:rFonts w:ascii="方正小标宋_GBK" w:eastAsia="方正小标宋_GBK" w:hAnsi="Times New Roman"/>
          <w:sz w:val="44"/>
          <w:szCs w:val="44"/>
        </w:rPr>
      </w:pPr>
      <w:r>
        <w:rPr>
          <w:rFonts w:ascii="方正小标宋_GBK" w:eastAsia="方正小标宋_GBK" w:hAnsi="Times New Roman" w:hint="eastAsia"/>
          <w:sz w:val="44"/>
          <w:szCs w:val="44"/>
        </w:rPr>
        <w:t>2024年重点绩效评价结果情况表</w:t>
      </w:r>
    </w:p>
    <w:p w:rsidR="00BF0D98" w:rsidRDefault="00BF0D98">
      <w:pPr>
        <w:adjustRightInd w:val="0"/>
        <w:snapToGrid w:val="0"/>
        <w:jc w:val="center"/>
        <w:rPr>
          <w:rFonts w:ascii="方正小标宋_GBK" w:eastAsia="方正小标宋_GBK" w:hAnsi="Times New Roman"/>
          <w:sz w:val="44"/>
          <w:szCs w:val="44"/>
        </w:rPr>
      </w:pPr>
    </w:p>
    <w:tbl>
      <w:tblPr>
        <w:tblW w:w="8883" w:type="dxa"/>
        <w:tblInd w:w="93" w:type="dxa"/>
        <w:tblLayout w:type="fixed"/>
        <w:tblLook w:val="04A0" w:firstRow="1" w:lastRow="0" w:firstColumn="1" w:lastColumn="0" w:noHBand="0" w:noVBand="1"/>
      </w:tblPr>
      <w:tblGrid>
        <w:gridCol w:w="587"/>
        <w:gridCol w:w="3091"/>
        <w:gridCol w:w="1283"/>
        <w:gridCol w:w="1428"/>
        <w:gridCol w:w="1265"/>
        <w:gridCol w:w="1229"/>
      </w:tblGrid>
      <w:tr w:rsidR="00BF0D98">
        <w:trPr>
          <w:trHeight w:val="600"/>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spacing w:line="500" w:lineRule="exact"/>
              <w:jc w:val="center"/>
              <w:textAlignment w:val="center"/>
              <w:rPr>
                <w:rFonts w:ascii="方正黑体_GBK" w:eastAsia="方正黑体_GBK" w:hAnsi="方正黑体_GBK" w:cs="方正黑体_GBK" w:hint="eastAsia"/>
                <w:kern w:val="0"/>
                <w:sz w:val="24"/>
                <w:szCs w:val="24"/>
                <w:lang w:bidi="ar"/>
              </w:rPr>
            </w:pPr>
            <w:r>
              <w:rPr>
                <w:rFonts w:ascii="方正黑体_GBK" w:eastAsia="方正黑体_GBK" w:hAnsi="方正黑体_GBK" w:cs="方正黑体_GBK" w:hint="eastAsia"/>
                <w:kern w:val="0"/>
                <w:sz w:val="24"/>
                <w:szCs w:val="24"/>
                <w:lang w:bidi="ar"/>
              </w:rPr>
              <w:t>序号</w:t>
            </w:r>
          </w:p>
        </w:tc>
        <w:tc>
          <w:tcPr>
            <w:tcW w:w="3091"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spacing w:line="500" w:lineRule="exact"/>
              <w:jc w:val="center"/>
              <w:textAlignment w:val="center"/>
              <w:rPr>
                <w:rFonts w:ascii="方正黑体_GBK" w:eastAsia="方正黑体_GBK" w:hAnsi="方正黑体_GBK" w:cs="方正黑体_GBK" w:hint="eastAsia"/>
                <w:kern w:val="0"/>
                <w:sz w:val="24"/>
                <w:szCs w:val="24"/>
                <w:lang w:bidi="ar"/>
              </w:rPr>
            </w:pPr>
            <w:r>
              <w:rPr>
                <w:rFonts w:ascii="方正黑体_GBK" w:eastAsia="方正黑体_GBK" w:hAnsi="方正黑体_GBK" w:cs="方正黑体_GBK" w:hint="eastAsia"/>
                <w:kern w:val="0"/>
                <w:sz w:val="24"/>
                <w:szCs w:val="24"/>
                <w:lang w:bidi="ar"/>
              </w:rPr>
              <w:t>名称</w:t>
            </w:r>
          </w:p>
        </w:tc>
        <w:tc>
          <w:tcPr>
            <w:tcW w:w="1283"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spacing w:line="500" w:lineRule="exact"/>
              <w:jc w:val="center"/>
              <w:textAlignment w:val="center"/>
              <w:rPr>
                <w:rFonts w:ascii="方正黑体_GBK" w:eastAsia="方正黑体_GBK" w:hAnsi="方正黑体_GBK" w:cs="方正黑体_GBK" w:hint="eastAsia"/>
                <w:kern w:val="0"/>
                <w:sz w:val="24"/>
                <w:szCs w:val="24"/>
                <w:lang w:bidi="ar"/>
              </w:rPr>
            </w:pPr>
            <w:r>
              <w:rPr>
                <w:rFonts w:ascii="方正黑体_GBK" w:eastAsia="方正黑体_GBK" w:hAnsi="方正黑体_GBK" w:cs="方正黑体_GBK" w:hint="eastAsia"/>
                <w:kern w:val="0"/>
                <w:sz w:val="24"/>
                <w:szCs w:val="24"/>
                <w:lang w:bidi="ar"/>
              </w:rPr>
              <w:t>评价类型</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spacing w:line="500" w:lineRule="exact"/>
              <w:jc w:val="center"/>
              <w:textAlignment w:val="center"/>
              <w:rPr>
                <w:rFonts w:ascii="方正黑体_GBK" w:eastAsia="方正黑体_GBK" w:hAnsi="方正黑体_GBK" w:cs="方正黑体_GBK" w:hint="eastAsia"/>
                <w:kern w:val="0"/>
                <w:sz w:val="24"/>
                <w:szCs w:val="24"/>
                <w:lang w:bidi="ar"/>
              </w:rPr>
            </w:pPr>
            <w:r>
              <w:rPr>
                <w:rFonts w:ascii="方正黑体_GBK" w:eastAsia="方正黑体_GBK" w:hAnsi="方正黑体_GBK" w:cs="方正黑体_GBK" w:hint="eastAsia"/>
                <w:kern w:val="0"/>
                <w:sz w:val="24"/>
                <w:szCs w:val="24"/>
                <w:lang w:bidi="ar"/>
              </w:rPr>
              <w:t>涉及资金</w:t>
            </w:r>
            <w:r>
              <w:rPr>
                <w:rFonts w:ascii="方正黑体_GBK" w:eastAsia="方正黑体_GBK" w:hAnsi="方正黑体_GBK" w:cs="方正黑体_GBK" w:hint="eastAsia"/>
                <w:kern w:val="0"/>
                <w:sz w:val="24"/>
                <w:szCs w:val="24"/>
                <w:lang w:bidi="ar"/>
              </w:rPr>
              <w:br/>
              <w:t>（万元）</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spacing w:line="500" w:lineRule="exact"/>
              <w:jc w:val="center"/>
              <w:textAlignment w:val="center"/>
              <w:rPr>
                <w:rFonts w:ascii="方正黑体_GBK" w:eastAsia="方正黑体_GBK" w:hAnsi="方正黑体_GBK" w:cs="方正黑体_GBK" w:hint="eastAsia"/>
                <w:kern w:val="0"/>
                <w:sz w:val="24"/>
                <w:szCs w:val="24"/>
                <w:lang w:bidi="ar"/>
              </w:rPr>
            </w:pPr>
            <w:r>
              <w:rPr>
                <w:rFonts w:ascii="方正黑体_GBK" w:eastAsia="方正黑体_GBK" w:hAnsi="方正黑体_GBK" w:cs="方正黑体_GBK" w:hint="eastAsia"/>
                <w:kern w:val="0"/>
                <w:sz w:val="24"/>
                <w:szCs w:val="24"/>
                <w:lang w:bidi="ar"/>
              </w:rPr>
              <w:t xml:space="preserve"> 评价得分</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spacing w:line="500" w:lineRule="exact"/>
              <w:jc w:val="center"/>
              <w:textAlignment w:val="center"/>
              <w:rPr>
                <w:rFonts w:ascii="方正黑体_GBK" w:eastAsia="方正黑体_GBK" w:hAnsi="方正黑体_GBK" w:cs="方正黑体_GBK" w:hint="eastAsia"/>
                <w:kern w:val="0"/>
                <w:sz w:val="24"/>
                <w:szCs w:val="24"/>
                <w:lang w:bidi="ar"/>
              </w:rPr>
            </w:pPr>
            <w:r>
              <w:rPr>
                <w:rFonts w:ascii="方正黑体_GBK" w:eastAsia="方正黑体_GBK" w:hAnsi="方正黑体_GBK" w:cs="方正黑体_GBK" w:hint="eastAsia"/>
                <w:kern w:val="0"/>
                <w:sz w:val="24"/>
                <w:szCs w:val="24"/>
                <w:lang w:bidi="ar"/>
              </w:rPr>
              <w:t>评价等级</w:t>
            </w:r>
          </w:p>
        </w:tc>
      </w:tr>
      <w:tr w:rsidR="00BF0D98">
        <w:trPr>
          <w:trHeight w:val="600"/>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1</w:t>
            </w:r>
          </w:p>
        </w:tc>
        <w:tc>
          <w:tcPr>
            <w:tcW w:w="3091" w:type="dxa"/>
            <w:tcBorders>
              <w:top w:val="nil"/>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巴福镇2023年度部门整体绩效评价</w:t>
            </w:r>
          </w:p>
        </w:tc>
        <w:tc>
          <w:tcPr>
            <w:tcW w:w="1283" w:type="dxa"/>
            <w:tcBorders>
              <w:top w:val="nil"/>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部门整体</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4,386.36 </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93.16 </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优</w:t>
            </w:r>
          </w:p>
        </w:tc>
      </w:tr>
      <w:tr w:rsidR="00BF0D98">
        <w:trPr>
          <w:trHeight w:val="600"/>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2</w:t>
            </w:r>
          </w:p>
        </w:tc>
        <w:tc>
          <w:tcPr>
            <w:tcW w:w="3091" w:type="dxa"/>
            <w:tcBorders>
              <w:top w:val="nil"/>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改革发展局2023年度部门整体绩效评价</w:t>
            </w:r>
          </w:p>
        </w:tc>
        <w:tc>
          <w:tcPr>
            <w:tcW w:w="1283" w:type="dxa"/>
            <w:tcBorders>
              <w:top w:val="nil"/>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部门整体</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25,239.10 </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90.35 </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优</w:t>
            </w:r>
          </w:p>
        </w:tc>
      </w:tr>
      <w:tr w:rsidR="00BF0D98">
        <w:trPr>
          <w:trHeight w:val="600"/>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3</w:t>
            </w:r>
          </w:p>
        </w:tc>
        <w:tc>
          <w:tcPr>
            <w:tcW w:w="3091" w:type="dxa"/>
            <w:tcBorders>
              <w:top w:val="nil"/>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孵化器运营专项</w:t>
            </w:r>
          </w:p>
        </w:tc>
        <w:tc>
          <w:tcPr>
            <w:tcW w:w="1283" w:type="dxa"/>
            <w:tcBorders>
              <w:top w:val="nil"/>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项目</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2,777.00 </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83.57 </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良</w:t>
            </w:r>
          </w:p>
        </w:tc>
      </w:tr>
      <w:tr w:rsidR="00BF0D98">
        <w:trPr>
          <w:trHeight w:val="618"/>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4</w:t>
            </w:r>
          </w:p>
        </w:tc>
        <w:tc>
          <w:tcPr>
            <w:tcW w:w="3091"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生活垃圾分类专项经费</w:t>
            </w:r>
          </w:p>
        </w:tc>
        <w:tc>
          <w:tcPr>
            <w:tcW w:w="1283"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项目</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1,700.00 </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90.70 </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优</w:t>
            </w:r>
          </w:p>
        </w:tc>
      </w:tr>
      <w:tr w:rsidR="00BF0D98">
        <w:trPr>
          <w:trHeight w:val="648"/>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5</w:t>
            </w:r>
          </w:p>
        </w:tc>
        <w:tc>
          <w:tcPr>
            <w:tcW w:w="3091"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2023年就业补助资金</w:t>
            </w:r>
          </w:p>
        </w:tc>
        <w:tc>
          <w:tcPr>
            <w:tcW w:w="1283"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项目</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5,400.88 </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93.48 </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优</w:t>
            </w:r>
          </w:p>
        </w:tc>
      </w:tr>
      <w:tr w:rsidR="00BF0D98">
        <w:trPr>
          <w:trHeight w:val="600"/>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6</w:t>
            </w:r>
          </w:p>
        </w:tc>
        <w:tc>
          <w:tcPr>
            <w:tcW w:w="3091"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2023年水安全保障工程建设市级基础投资第二批</w:t>
            </w:r>
          </w:p>
        </w:tc>
        <w:tc>
          <w:tcPr>
            <w:tcW w:w="1283"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项目</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1,000.00</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90.50</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优</w:t>
            </w:r>
          </w:p>
        </w:tc>
      </w:tr>
      <w:tr w:rsidR="00BF0D98">
        <w:trPr>
          <w:trHeight w:val="600"/>
        </w:trPr>
        <w:tc>
          <w:tcPr>
            <w:tcW w:w="587"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7</w:t>
            </w:r>
          </w:p>
        </w:tc>
        <w:tc>
          <w:tcPr>
            <w:tcW w:w="3091"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kern w:val="0"/>
                <w:sz w:val="24"/>
                <w:szCs w:val="24"/>
                <w:lang w:bidi="ar"/>
              </w:rPr>
            </w:pPr>
            <w:r>
              <w:rPr>
                <w:rFonts w:ascii="方正仿宋_GBK" w:eastAsia="方正仿宋_GBK" w:hAnsi="方正仿宋_GBK" w:cs="方正仿宋_GBK" w:hint="eastAsia"/>
                <w:kern w:val="0"/>
                <w:sz w:val="24"/>
                <w:szCs w:val="24"/>
                <w:lang w:bidi="ar"/>
              </w:rPr>
              <w:t>2023年基本公共卫生服务</w:t>
            </w:r>
          </w:p>
        </w:tc>
        <w:tc>
          <w:tcPr>
            <w:tcW w:w="1283"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项目</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4,000.00</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89.00 </w:t>
            </w: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良</w:t>
            </w:r>
          </w:p>
        </w:tc>
      </w:tr>
      <w:tr w:rsidR="00BF0D98">
        <w:trPr>
          <w:trHeight w:val="300"/>
        </w:trPr>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合计</w:t>
            </w:r>
          </w:p>
        </w:tc>
        <w:tc>
          <w:tcPr>
            <w:tcW w:w="1428" w:type="dxa"/>
            <w:tcBorders>
              <w:top w:val="single" w:sz="4" w:space="0" w:color="000000"/>
              <w:left w:val="single" w:sz="4" w:space="0" w:color="000000"/>
              <w:bottom w:val="single" w:sz="4" w:space="0" w:color="000000"/>
              <w:right w:val="single" w:sz="4" w:space="0" w:color="000000"/>
            </w:tcBorders>
            <w:vAlign w:val="center"/>
          </w:tcPr>
          <w:p w:rsidR="00BF0D98" w:rsidRDefault="00000000">
            <w:pPr>
              <w:widowControl/>
              <w:jc w:val="center"/>
              <w:textAlignment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kern w:val="0"/>
                <w:sz w:val="24"/>
                <w:szCs w:val="24"/>
                <w:lang w:bidi="ar"/>
              </w:rPr>
              <w:t xml:space="preserve">44,503.34 </w:t>
            </w:r>
          </w:p>
        </w:tc>
        <w:tc>
          <w:tcPr>
            <w:tcW w:w="1265" w:type="dxa"/>
            <w:tcBorders>
              <w:top w:val="single" w:sz="4" w:space="0" w:color="000000"/>
              <w:left w:val="single" w:sz="4" w:space="0" w:color="000000"/>
              <w:bottom w:val="single" w:sz="4" w:space="0" w:color="000000"/>
              <w:right w:val="single" w:sz="4" w:space="0" w:color="000000"/>
            </w:tcBorders>
            <w:vAlign w:val="center"/>
          </w:tcPr>
          <w:p w:rsidR="00BF0D98" w:rsidRDefault="00BF0D98">
            <w:pPr>
              <w:widowControl/>
              <w:jc w:val="center"/>
              <w:textAlignment w:val="baseline"/>
              <w:rPr>
                <w:rFonts w:ascii="方正仿宋_GBK" w:eastAsia="方正仿宋_GBK" w:hAnsi="方正仿宋_GBK" w:cs="方正仿宋_GBK" w:hint="eastAsia"/>
                <w:sz w:val="24"/>
                <w:szCs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BF0D98" w:rsidRDefault="00BF0D98">
            <w:pPr>
              <w:widowControl/>
              <w:jc w:val="center"/>
              <w:textAlignment w:val="baseline"/>
              <w:rPr>
                <w:rFonts w:ascii="方正仿宋_GBK" w:eastAsia="方正仿宋_GBK" w:hAnsi="方正仿宋_GBK" w:cs="方正仿宋_GBK" w:hint="eastAsia"/>
                <w:sz w:val="24"/>
                <w:szCs w:val="24"/>
              </w:rPr>
            </w:pPr>
          </w:p>
        </w:tc>
      </w:tr>
    </w:tbl>
    <w:p w:rsidR="00157D6B" w:rsidRDefault="00157D6B" w:rsidP="00951030">
      <w:pPr>
        <w:spacing w:line="600" w:lineRule="exact"/>
        <w:rPr>
          <w:rFonts w:ascii="Times New Roman" w:eastAsia="方正仿宋_GBK" w:hAnsi="Times New Roman" w:cs="方正仿宋_GBK" w:hint="eastAsia"/>
          <w:sz w:val="32"/>
        </w:rPr>
      </w:pPr>
    </w:p>
    <w:sectPr w:rsidR="00157D6B" w:rsidSect="00157D6B">
      <w:headerReference w:type="even" r:id="rId18"/>
      <w:headerReference w:type="default" r:id="rId19"/>
      <w:footerReference w:type="even" r:id="rId20"/>
      <w:footerReference w:type="default" r:id="rId21"/>
      <w:headerReference w:type="first" r:id="rId22"/>
      <w:footerReference w:type="first" r:id="rId23"/>
      <w:pgSz w:w="11906" w:h="16838"/>
      <w:pgMar w:top="2098" w:right="1531" w:bottom="1985" w:left="1531" w:header="851" w:footer="1418"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E6C" w:rsidRDefault="00EF0E6C">
      <w:r>
        <w:separator/>
      </w:r>
    </w:p>
  </w:endnote>
  <w:endnote w:type="continuationSeparator" w:id="0">
    <w:p w:rsidR="00EF0E6C" w:rsidRDefault="00EF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000000">
    <w:pPr>
      <w:pStyle w:val="ab"/>
      <w:ind w:firstLineChars="100" w:firstLine="28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sz w:val="28"/>
        <w:szCs w:val="28"/>
      </w:rPr>
      <w:t>20</w:t>
    </w:r>
    <w:r>
      <w:rPr>
        <w:rFonts w:ascii="宋体" w:hAnsi="宋体" w:cs="宋体" w:hint="eastAsia"/>
        <w:sz w:val="28"/>
        <w:szCs w:val="28"/>
      </w:rPr>
      <w:fldChar w:fldCharType="end"/>
    </w:r>
    <w:r>
      <w:rPr>
        <w:rFonts w:ascii="宋体" w:hAnsi="宋体" w:cs="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000000">
    <w:pPr>
      <w:pStyle w:val="ab"/>
      <w:ind w:rightChars="100" w:right="210"/>
      <w:jc w:val="right"/>
      <w:rPr>
        <w:rFonts w:ascii="宋体" w:hAnsi="宋体" w:cs="宋体" w:hint="eastAsia"/>
        <w:sz w:val="28"/>
        <w:szCs w:val="28"/>
      </w:rPr>
    </w:pPr>
    <w:bookmarkStart w:id="5" w:name="_Hlk55507234"/>
    <w:bookmarkStart w:id="6" w:name="_Hlk55507233"/>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sz w:val="28"/>
        <w:szCs w:val="28"/>
        <w:lang w:val="zh-CN"/>
      </w:rPr>
      <w:t>2</w:t>
    </w:r>
    <w:r>
      <w:rPr>
        <w:rFonts w:ascii="宋体" w:hAnsi="宋体" w:cs="宋体"/>
        <w:sz w:val="28"/>
        <w:szCs w:val="28"/>
        <w:lang w:val="zh-CN"/>
      </w:rPr>
      <w:t>1</w:t>
    </w:r>
    <w:r>
      <w:rPr>
        <w:rFonts w:ascii="宋体" w:hAnsi="宋体" w:cs="宋体" w:hint="eastAsia"/>
        <w:sz w:val="28"/>
        <w:szCs w:val="28"/>
      </w:rPr>
      <w:fldChar w:fldCharType="end"/>
    </w:r>
    <w:r>
      <w:rPr>
        <w:rFonts w:ascii="宋体" w:hAnsi="宋体" w:cs="宋体" w:hint="eastAsia"/>
        <w:sz w:val="28"/>
        <w:szCs w:val="28"/>
      </w:rPr>
      <w:t xml:space="preserve"> —</w:t>
    </w:r>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hAnsi="宋体" w:cs="宋体" w:hint="eastAsia"/>
        <w:sz w:val="28"/>
        <w:szCs w:val="28"/>
      </w:rPr>
      <w:id w:val="1659577318"/>
    </w:sdtPr>
    <w:sdtEndPr>
      <w:rPr>
        <w:rFonts w:ascii="方正仿宋_GBK"/>
      </w:rPr>
    </w:sdtEndPr>
    <w:sdtContent>
      <w:p w:rsidR="00BF0D98" w:rsidRDefault="00000000">
        <w:pPr>
          <w:pStyle w:val="ab"/>
          <w:ind w:firstLineChars="100" w:firstLine="280"/>
          <w:rPr>
            <w:rFonts w:ascii="方正仿宋_GBK"/>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sz w:val="28"/>
            <w:szCs w:val="28"/>
            <w:lang w:val="zh-CN"/>
          </w:rPr>
          <w:t>74</w:t>
        </w:r>
        <w:r>
          <w:rPr>
            <w:rFonts w:ascii="宋体" w:hAnsi="宋体" w:cs="宋体" w:hint="eastAsia"/>
            <w:sz w:val="28"/>
            <w:szCs w:val="28"/>
          </w:rPr>
          <w:fldChar w:fldCharType="end"/>
        </w:r>
        <w:r>
          <w:rPr>
            <w:rFonts w:ascii="宋体" w:hAnsi="宋体" w:cs="宋体" w:hint="eastAsia"/>
            <w:sz w:val="28"/>
            <w:szCs w:val="2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方正仿宋_GBK" w:hint="eastAsia"/>
        <w:sz w:val="28"/>
        <w:szCs w:val="28"/>
      </w:rPr>
      <w:id w:val="28929629"/>
    </w:sdtPr>
    <w:sdtEndPr>
      <w:rPr>
        <w:rFonts w:ascii="宋体" w:hAnsi="宋体" w:cs="宋体"/>
      </w:rPr>
    </w:sdtEndPr>
    <w:sdtContent>
      <w:p w:rsidR="00BF0D98" w:rsidRDefault="00000000">
        <w:pPr>
          <w:pStyle w:val="ab"/>
          <w:ind w:rightChars="100" w:right="210"/>
          <w:jc w:val="right"/>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sz w:val="28"/>
            <w:szCs w:val="28"/>
            <w:lang w:val="zh-CN"/>
          </w:rPr>
          <w:t>7</w:t>
        </w:r>
        <w:r>
          <w:rPr>
            <w:rFonts w:ascii="宋体" w:hAnsi="宋体" w:cs="宋体"/>
            <w:sz w:val="28"/>
            <w:szCs w:val="28"/>
            <w:lang w:val="zh-CN"/>
          </w:rPr>
          <w:t>3</w:t>
        </w:r>
        <w:r>
          <w:rPr>
            <w:rFonts w:ascii="宋体" w:hAnsi="宋体" w:cs="宋体" w:hint="eastAsia"/>
            <w:sz w:val="28"/>
            <w:szCs w:val="28"/>
          </w:rPr>
          <w:fldChar w:fldCharType="end"/>
        </w:r>
        <w:r>
          <w:rPr>
            <w:rFonts w:ascii="宋体" w:hAnsi="宋体" w:cs="宋体" w:hint="eastAsia"/>
            <w:sz w:val="28"/>
            <w:szCs w:val="28"/>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b"/>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000000">
    <w:pPr>
      <w:pStyle w:val="ab"/>
      <w:ind w:firstLineChars="100" w:firstLine="280"/>
      <w:rPr>
        <w:rFonts w:ascii="宋体" w:hAnsi="宋体" w:cs="宋体" w:hint="eastAsia"/>
        <w:szCs w:val="28"/>
      </w:rPr>
    </w:pPr>
    <w:r>
      <w:rPr>
        <w:rFonts w:ascii="宋体" w:hAnsi="宋体" w:cs="宋体"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88</w:t>
    </w:r>
    <w:r>
      <w:rPr>
        <w:sz w:val="28"/>
        <w:szCs w:val="28"/>
      </w:rPr>
      <w:fldChar w:fldCharType="end"/>
    </w:r>
    <w:r>
      <w:rPr>
        <w:rFonts w:ascii="宋体" w:hAnsi="宋体" w:cs="宋体" w:hint="eastAsia"/>
        <w:sz w:val="28"/>
        <w:szCs w:val="2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000000">
    <w:pPr>
      <w:pStyle w:val="ab"/>
      <w:wordWrap w:val="0"/>
      <w:jc w:val="right"/>
      <w:rPr>
        <w:szCs w:val="28"/>
      </w:rPr>
    </w:pPr>
    <w:r>
      <w:rPr>
        <w:rFonts w:ascii="宋体" w:hAnsi="宋体"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lang w:val="zh-CN"/>
      </w:rPr>
      <w:t>9</w:t>
    </w:r>
    <w:r>
      <w:rPr>
        <w:sz w:val="28"/>
        <w:szCs w:val="28"/>
      </w:rPr>
      <w:fldChar w:fldCharType="end"/>
    </w:r>
    <w:r>
      <w:rPr>
        <w:rFonts w:ascii="宋体" w:hAnsi="宋体" w:hint="eastAsia"/>
        <w:sz w:val="28"/>
        <w:szCs w:val="2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E6C" w:rsidRDefault="00EF0E6C">
      <w:r>
        <w:separator/>
      </w:r>
    </w:p>
  </w:footnote>
  <w:footnote w:type="continuationSeparator" w:id="0">
    <w:p w:rsidR="00EF0E6C" w:rsidRDefault="00EF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pBdr>
        <w:bottom w:val="none" w:sz="0" w:space="0" w:color="auto"/>
      </w:pBdr>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0D98" w:rsidRDefault="00BF0D98">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83"/>
    <w:rsid w:val="00001410"/>
    <w:rsid w:val="00037B32"/>
    <w:rsid w:val="000435CE"/>
    <w:rsid w:val="00062B02"/>
    <w:rsid w:val="000644F7"/>
    <w:rsid w:val="000874A0"/>
    <w:rsid w:val="000A14D1"/>
    <w:rsid w:val="000A5CFD"/>
    <w:rsid w:val="000A6C95"/>
    <w:rsid w:val="000B007F"/>
    <w:rsid w:val="000B14E0"/>
    <w:rsid w:val="000C05E1"/>
    <w:rsid w:val="000C2DB4"/>
    <w:rsid w:val="000E4F8A"/>
    <w:rsid w:val="000F1C94"/>
    <w:rsid w:val="000F3917"/>
    <w:rsid w:val="000F3E5C"/>
    <w:rsid w:val="00121772"/>
    <w:rsid w:val="00134273"/>
    <w:rsid w:val="001440AB"/>
    <w:rsid w:val="00157D6B"/>
    <w:rsid w:val="00182C0A"/>
    <w:rsid w:val="00191F7D"/>
    <w:rsid w:val="001A1F4A"/>
    <w:rsid w:val="001C7616"/>
    <w:rsid w:val="00206513"/>
    <w:rsid w:val="00211AD4"/>
    <w:rsid w:val="00215408"/>
    <w:rsid w:val="0022005A"/>
    <w:rsid w:val="0023622F"/>
    <w:rsid w:val="00250AD2"/>
    <w:rsid w:val="002521FD"/>
    <w:rsid w:val="002614B2"/>
    <w:rsid w:val="0026314D"/>
    <w:rsid w:val="00264220"/>
    <w:rsid w:val="00276568"/>
    <w:rsid w:val="002A2252"/>
    <w:rsid w:val="002A625A"/>
    <w:rsid w:val="002B2D97"/>
    <w:rsid w:val="002C09B3"/>
    <w:rsid w:val="002C4164"/>
    <w:rsid w:val="002C5695"/>
    <w:rsid w:val="002C640E"/>
    <w:rsid w:val="002C6690"/>
    <w:rsid w:val="002D60BF"/>
    <w:rsid w:val="00300180"/>
    <w:rsid w:val="0032333E"/>
    <w:rsid w:val="0032790D"/>
    <w:rsid w:val="003565B0"/>
    <w:rsid w:val="003739C7"/>
    <w:rsid w:val="003E020F"/>
    <w:rsid w:val="003F62D3"/>
    <w:rsid w:val="00420601"/>
    <w:rsid w:val="00421547"/>
    <w:rsid w:val="00441916"/>
    <w:rsid w:val="004429CF"/>
    <w:rsid w:val="00445A1A"/>
    <w:rsid w:val="00451E8B"/>
    <w:rsid w:val="00457237"/>
    <w:rsid w:val="004618F4"/>
    <w:rsid w:val="00467809"/>
    <w:rsid w:val="0047526E"/>
    <w:rsid w:val="004845F0"/>
    <w:rsid w:val="004852CF"/>
    <w:rsid w:val="00487007"/>
    <w:rsid w:val="004A64B6"/>
    <w:rsid w:val="004F045F"/>
    <w:rsid w:val="00503C83"/>
    <w:rsid w:val="005117E1"/>
    <w:rsid w:val="00514795"/>
    <w:rsid w:val="00515DAB"/>
    <w:rsid w:val="00524680"/>
    <w:rsid w:val="0053589D"/>
    <w:rsid w:val="00543391"/>
    <w:rsid w:val="00546926"/>
    <w:rsid w:val="005708AF"/>
    <w:rsid w:val="005751A3"/>
    <w:rsid w:val="00577CFC"/>
    <w:rsid w:val="00591346"/>
    <w:rsid w:val="00594640"/>
    <w:rsid w:val="005A1059"/>
    <w:rsid w:val="005A5308"/>
    <w:rsid w:val="005C305B"/>
    <w:rsid w:val="005E156D"/>
    <w:rsid w:val="00601DDF"/>
    <w:rsid w:val="00646144"/>
    <w:rsid w:val="006505C2"/>
    <w:rsid w:val="0068132B"/>
    <w:rsid w:val="006814B6"/>
    <w:rsid w:val="00690C7A"/>
    <w:rsid w:val="00697A5F"/>
    <w:rsid w:val="006B25D4"/>
    <w:rsid w:val="006D3BB4"/>
    <w:rsid w:val="006E0829"/>
    <w:rsid w:val="006E2A06"/>
    <w:rsid w:val="006E70F6"/>
    <w:rsid w:val="007009EE"/>
    <w:rsid w:val="00707FF4"/>
    <w:rsid w:val="0073157B"/>
    <w:rsid w:val="007428ED"/>
    <w:rsid w:val="00743E07"/>
    <w:rsid w:val="00746B2B"/>
    <w:rsid w:val="0075156B"/>
    <w:rsid w:val="00752384"/>
    <w:rsid w:val="007844A1"/>
    <w:rsid w:val="007A25E8"/>
    <w:rsid w:val="007C6B4B"/>
    <w:rsid w:val="007C73E9"/>
    <w:rsid w:val="007D01C2"/>
    <w:rsid w:val="007D0FBD"/>
    <w:rsid w:val="007E2DC7"/>
    <w:rsid w:val="007E6B46"/>
    <w:rsid w:val="007F5057"/>
    <w:rsid w:val="008002B6"/>
    <w:rsid w:val="0080060E"/>
    <w:rsid w:val="00800E5A"/>
    <w:rsid w:val="00806384"/>
    <w:rsid w:val="008068A1"/>
    <w:rsid w:val="008104F4"/>
    <w:rsid w:val="00826205"/>
    <w:rsid w:val="00826614"/>
    <w:rsid w:val="008273DD"/>
    <w:rsid w:val="008455D9"/>
    <w:rsid w:val="0087385A"/>
    <w:rsid w:val="0089166D"/>
    <w:rsid w:val="008A0609"/>
    <w:rsid w:val="008B17A1"/>
    <w:rsid w:val="008C000A"/>
    <w:rsid w:val="008D15BA"/>
    <w:rsid w:val="008E4F67"/>
    <w:rsid w:val="00914806"/>
    <w:rsid w:val="00923D69"/>
    <w:rsid w:val="00935171"/>
    <w:rsid w:val="009375B5"/>
    <w:rsid w:val="00937BB6"/>
    <w:rsid w:val="00951030"/>
    <w:rsid w:val="00970CEA"/>
    <w:rsid w:val="009802A2"/>
    <w:rsid w:val="00987321"/>
    <w:rsid w:val="0099506F"/>
    <w:rsid w:val="009A3D02"/>
    <w:rsid w:val="009D7896"/>
    <w:rsid w:val="009E4141"/>
    <w:rsid w:val="009E5471"/>
    <w:rsid w:val="009E7555"/>
    <w:rsid w:val="009F05C5"/>
    <w:rsid w:val="009F0ACE"/>
    <w:rsid w:val="009F72A7"/>
    <w:rsid w:val="00A006E6"/>
    <w:rsid w:val="00A12668"/>
    <w:rsid w:val="00A148B1"/>
    <w:rsid w:val="00A6374C"/>
    <w:rsid w:val="00A65E58"/>
    <w:rsid w:val="00A709C9"/>
    <w:rsid w:val="00A81BBC"/>
    <w:rsid w:val="00A81E26"/>
    <w:rsid w:val="00A83077"/>
    <w:rsid w:val="00A84C73"/>
    <w:rsid w:val="00A85BD0"/>
    <w:rsid w:val="00A973AD"/>
    <w:rsid w:val="00AA36EB"/>
    <w:rsid w:val="00AB29A0"/>
    <w:rsid w:val="00AB5DD8"/>
    <w:rsid w:val="00AC4458"/>
    <w:rsid w:val="00AD1452"/>
    <w:rsid w:val="00B02BB9"/>
    <w:rsid w:val="00B04841"/>
    <w:rsid w:val="00B16217"/>
    <w:rsid w:val="00B25899"/>
    <w:rsid w:val="00B36497"/>
    <w:rsid w:val="00B37D38"/>
    <w:rsid w:val="00B41445"/>
    <w:rsid w:val="00B43781"/>
    <w:rsid w:val="00B607F8"/>
    <w:rsid w:val="00B73834"/>
    <w:rsid w:val="00B77BDC"/>
    <w:rsid w:val="00B83138"/>
    <w:rsid w:val="00B94B82"/>
    <w:rsid w:val="00BC4A42"/>
    <w:rsid w:val="00BC6BFE"/>
    <w:rsid w:val="00BD69D7"/>
    <w:rsid w:val="00BF0D98"/>
    <w:rsid w:val="00C00883"/>
    <w:rsid w:val="00C24379"/>
    <w:rsid w:val="00C71516"/>
    <w:rsid w:val="00C93137"/>
    <w:rsid w:val="00C96022"/>
    <w:rsid w:val="00CB6539"/>
    <w:rsid w:val="00CF0F8F"/>
    <w:rsid w:val="00D24B5B"/>
    <w:rsid w:val="00D41AA8"/>
    <w:rsid w:val="00D42B20"/>
    <w:rsid w:val="00D5301F"/>
    <w:rsid w:val="00D74496"/>
    <w:rsid w:val="00DB20BD"/>
    <w:rsid w:val="00DB3071"/>
    <w:rsid w:val="00DC5DEC"/>
    <w:rsid w:val="00DD1D08"/>
    <w:rsid w:val="00DD31C7"/>
    <w:rsid w:val="00DD6E37"/>
    <w:rsid w:val="00DE26CD"/>
    <w:rsid w:val="00E00165"/>
    <w:rsid w:val="00E03BC2"/>
    <w:rsid w:val="00E16B99"/>
    <w:rsid w:val="00E2316A"/>
    <w:rsid w:val="00E3718B"/>
    <w:rsid w:val="00E41F19"/>
    <w:rsid w:val="00E55995"/>
    <w:rsid w:val="00E55E40"/>
    <w:rsid w:val="00E75B97"/>
    <w:rsid w:val="00E86ED2"/>
    <w:rsid w:val="00E94F20"/>
    <w:rsid w:val="00E9568D"/>
    <w:rsid w:val="00E957FE"/>
    <w:rsid w:val="00EC1896"/>
    <w:rsid w:val="00EF0E6C"/>
    <w:rsid w:val="00EF3570"/>
    <w:rsid w:val="00F00E21"/>
    <w:rsid w:val="00F35887"/>
    <w:rsid w:val="00F43254"/>
    <w:rsid w:val="00F5261C"/>
    <w:rsid w:val="00F607D3"/>
    <w:rsid w:val="00F6704A"/>
    <w:rsid w:val="00F67EB6"/>
    <w:rsid w:val="00F806D1"/>
    <w:rsid w:val="00F90E21"/>
    <w:rsid w:val="00F9138A"/>
    <w:rsid w:val="00F9566A"/>
    <w:rsid w:val="00FB09CC"/>
    <w:rsid w:val="00FC14A9"/>
    <w:rsid w:val="00FC2EFB"/>
    <w:rsid w:val="00FD0C6E"/>
    <w:rsid w:val="00FD1E28"/>
    <w:rsid w:val="00FD70B3"/>
    <w:rsid w:val="00FE38DE"/>
    <w:rsid w:val="00FE7E8C"/>
    <w:rsid w:val="00FF673C"/>
    <w:rsid w:val="00FF701A"/>
    <w:rsid w:val="26004E66"/>
    <w:rsid w:val="2ED36E50"/>
    <w:rsid w:val="33616C57"/>
    <w:rsid w:val="4FB42FCF"/>
    <w:rsid w:val="63FA5093"/>
    <w:rsid w:val="64D17A73"/>
    <w:rsid w:val="6CF838B1"/>
    <w:rsid w:val="7010711E"/>
    <w:rsid w:val="EEDF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8B165"/>
  <w15:docId w15:val="{9EA01E47-FF26-47E5-8DBD-22B33E8E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line="600" w:lineRule="exact"/>
      <w:ind w:firstLineChars="200" w:firstLine="200"/>
      <w:jc w:val="left"/>
      <w:outlineLvl w:val="0"/>
    </w:pPr>
    <w:rPr>
      <w:rFonts w:ascii="Times New Roman" w:eastAsia="方正黑体_GBK" w:hAnsi="Times New Roman" w:cstheme="minorBidi"/>
      <w:bCs/>
      <w:kern w:val="44"/>
      <w:sz w:val="32"/>
      <w:szCs w:val="44"/>
    </w:rPr>
  </w:style>
  <w:style w:type="paragraph" w:styleId="2">
    <w:name w:val="heading 2"/>
    <w:basedOn w:val="a"/>
    <w:next w:val="a"/>
    <w:link w:val="20"/>
    <w:uiPriority w:val="9"/>
    <w:unhideWhenUsed/>
    <w:qFormat/>
    <w:pPr>
      <w:keepNext/>
      <w:keepLines/>
      <w:spacing w:line="600" w:lineRule="exact"/>
      <w:ind w:firstLineChars="200" w:firstLine="200"/>
      <w:jc w:val="left"/>
      <w:outlineLvl w:val="1"/>
    </w:pPr>
    <w:rPr>
      <w:rFonts w:ascii="Times New Roman" w:eastAsia="方正楷体_GBK"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600" w:lineRule="exact"/>
      <w:ind w:firstLineChars="200" w:firstLine="200"/>
      <w:jc w:val="left"/>
    </w:pPr>
    <w:rPr>
      <w:rFonts w:ascii="Times New Roman" w:eastAsia="方正仿宋_GBK" w:hAnsi="Times New Roman" w:cstheme="minorBidi"/>
      <w:sz w:val="32"/>
    </w:rPr>
  </w:style>
  <w:style w:type="paragraph" w:styleId="a5">
    <w:name w:val="Date"/>
    <w:basedOn w:val="a"/>
    <w:next w:val="a"/>
    <w:link w:val="a6"/>
    <w:uiPriority w:val="99"/>
    <w:semiHidden/>
    <w:unhideWhenUsed/>
    <w:qFormat/>
    <w:pPr>
      <w:ind w:leftChars="2500" w:left="100"/>
    </w:pPr>
  </w:style>
  <w:style w:type="paragraph" w:styleId="a7">
    <w:name w:val="endnote text"/>
    <w:basedOn w:val="a"/>
    <w:link w:val="a8"/>
    <w:uiPriority w:val="99"/>
    <w:semiHidden/>
    <w:unhideWhenUsed/>
    <w:qFormat/>
    <w:pPr>
      <w:snapToGrid w:val="0"/>
      <w:spacing w:line="600" w:lineRule="exact"/>
      <w:ind w:firstLineChars="200" w:firstLine="200"/>
      <w:jc w:val="left"/>
    </w:pPr>
    <w:rPr>
      <w:rFonts w:ascii="Times New Roman" w:eastAsia="方正仿宋_GBK" w:hAnsi="Times New Roman" w:cstheme="minorBidi"/>
      <w:sz w:val="32"/>
    </w:rPr>
  </w:style>
  <w:style w:type="paragraph" w:styleId="a9">
    <w:name w:val="Balloon Text"/>
    <w:basedOn w:val="a"/>
    <w:link w:val="aa"/>
    <w:uiPriority w:val="99"/>
    <w:semiHidden/>
    <w:unhideWhenUsed/>
    <w:qFormat/>
    <w:pPr>
      <w:ind w:firstLineChars="200" w:firstLine="200"/>
    </w:pPr>
    <w:rPr>
      <w:rFonts w:ascii="Times New Roman" w:eastAsia="方正仿宋_GBK" w:hAnsi="Times New Roman" w:cstheme="minorBidi"/>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semiHidden/>
    <w:unhideWhenUsed/>
    <w:qFormat/>
    <w:pPr>
      <w:snapToGrid w:val="0"/>
      <w:spacing w:line="600" w:lineRule="exact"/>
      <w:ind w:firstLineChars="200" w:firstLine="200"/>
      <w:jc w:val="left"/>
    </w:pPr>
    <w:rPr>
      <w:rFonts w:ascii="Times New Roman" w:eastAsia="方正仿宋_GBK" w:hAnsi="Times New Roman" w:cstheme="minorBidi"/>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basedOn w:val="a0"/>
    <w:uiPriority w:val="99"/>
    <w:semiHidden/>
    <w:unhideWhenUsed/>
    <w:qFormat/>
    <w:rPr>
      <w:vertAlign w:val="superscript"/>
    </w:rPr>
  </w:style>
  <w:style w:type="character" w:styleId="af5">
    <w:name w:val="FollowedHyperlink"/>
    <w:basedOn w:val="a0"/>
    <w:uiPriority w:val="99"/>
    <w:semiHidden/>
    <w:unhideWhenUsed/>
    <w:qFormat/>
    <w:rPr>
      <w:color w:val="800080"/>
      <w:u w:val="single"/>
    </w:rPr>
  </w:style>
  <w:style w:type="character" w:styleId="af6">
    <w:name w:val="Hyperlink"/>
    <w:basedOn w:val="a0"/>
    <w:uiPriority w:val="99"/>
    <w:semiHidden/>
    <w:unhideWhenUsed/>
    <w:qFormat/>
    <w:rPr>
      <w:color w:val="0000FF"/>
      <w:u w:val="single"/>
    </w:rPr>
  </w:style>
  <w:style w:type="character" w:styleId="af7">
    <w:name w:val="annotation reference"/>
    <w:basedOn w:val="a0"/>
    <w:uiPriority w:val="99"/>
    <w:semiHidden/>
    <w:unhideWhenUsed/>
    <w:qFormat/>
    <w:rPr>
      <w:sz w:val="21"/>
      <w:szCs w:val="21"/>
    </w:rPr>
  </w:style>
  <w:style w:type="character" w:styleId="af8">
    <w:name w:val="footnote reference"/>
    <w:basedOn w:val="a0"/>
    <w:uiPriority w:val="99"/>
    <w:semiHidden/>
    <w:unhideWhenUsed/>
    <w:qFormat/>
    <w:rPr>
      <w:vertAlign w:val="superscrip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qFormat/>
    <w:rPr>
      <w:sz w:val="18"/>
      <w:szCs w:val="18"/>
    </w:rPr>
  </w:style>
  <w:style w:type="character" w:customStyle="1" w:styleId="a6">
    <w:name w:val="日期 字符"/>
    <w:basedOn w:val="a0"/>
    <w:link w:val="a5"/>
    <w:uiPriority w:val="99"/>
    <w:semiHidden/>
    <w:qFormat/>
    <w:rPr>
      <w:rFonts w:ascii="Calibri" w:eastAsia="宋体" w:hAnsi="Calibri" w:cs="Times New Roman"/>
    </w:rPr>
  </w:style>
  <w:style w:type="character" w:customStyle="1" w:styleId="10">
    <w:name w:val="标题 1 字符"/>
    <w:basedOn w:val="a0"/>
    <w:link w:val="1"/>
    <w:uiPriority w:val="9"/>
    <w:qFormat/>
    <w:rPr>
      <w:rFonts w:ascii="Times New Roman" w:eastAsia="方正黑体_GBK" w:hAnsi="Times New Roman"/>
      <w:bCs/>
      <w:kern w:val="44"/>
      <w:sz w:val="32"/>
      <w:szCs w:val="44"/>
    </w:rPr>
  </w:style>
  <w:style w:type="character" w:customStyle="1" w:styleId="20">
    <w:name w:val="标题 2 字符"/>
    <w:basedOn w:val="a0"/>
    <w:link w:val="2"/>
    <w:uiPriority w:val="9"/>
    <w:qFormat/>
    <w:rPr>
      <w:rFonts w:ascii="Times New Roman" w:eastAsia="方正楷体_GBK" w:hAnsi="Times New Roman" w:cstheme="majorBidi"/>
      <w:bCs/>
      <w:kern w:val="2"/>
      <w:sz w:val="32"/>
      <w:szCs w:val="32"/>
    </w:rPr>
  </w:style>
  <w:style w:type="character" w:customStyle="1" w:styleId="a4">
    <w:name w:val="批注文字 字符"/>
    <w:basedOn w:val="a0"/>
    <w:link w:val="a3"/>
    <w:uiPriority w:val="99"/>
    <w:semiHidden/>
    <w:qFormat/>
    <w:rPr>
      <w:rFonts w:ascii="Times New Roman" w:eastAsia="方正仿宋_GBK" w:hAnsi="Times New Roman"/>
      <w:kern w:val="2"/>
      <w:sz w:val="32"/>
      <w:szCs w:val="22"/>
    </w:rPr>
  </w:style>
  <w:style w:type="character" w:customStyle="1" w:styleId="a8">
    <w:name w:val="尾注文本 字符"/>
    <w:basedOn w:val="a0"/>
    <w:link w:val="a7"/>
    <w:uiPriority w:val="99"/>
    <w:semiHidden/>
    <w:qFormat/>
    <w:rPr>
      <w:rFonts w:ascii="Times New Roman" w:eastAsia="方正仿宋_GBK" w:hAnsi="Times New Roman"/>
      <w:kern w:val="2"/>
      <w:sz w:val="32"/>
      <w:szCs w:val="22"/>
    </w:rPr>
  </w:style>
  <w:style w:type="character" w:customStyle="1" w:styleId="aa">
    <w:name w:val="批注框文本 字符"/>
    <w:basedOn w:val="a0"/>
    <w:link w:val="a9"/>
    <w:uiPriority w:val="99"/>
    <w:semiHidden/>
    <w:qFormat/>
    <w:rPr>
      <w:rFonts w:ascii="Times New Roman" w:eastAsia="方正仿宋_GBK" w:hAnsi="Times New Roman"/>
      <w:kern w:val="2"/>
      <w:sz w:val="18"/>
      <w:szCs w:val="18"/>
    </w:rPr>
  </w:style>
  <w:style w:type="character" w:customStyle="1" w:styleId="af0">
    <w:name w:val="脚注文本 字符"/>
    <w:basedOn w:val="a0"/>
    <w:link w:val="af"/>
    <w:uiPriority w:val="99"/>
    <w:semiHidden/>
    <w:qFormat/>
    <w:rPr>
      <w:rFonts w:ascii="Times New Roman" w:eastAsia="方正仿宋_GBK" w:hAnsi="Times New Roman"/>
      <w:kern w:val="2"/>
      <w:sz w:val="18"/>
      <w:szCs w:val="18"/>
    </w:rPr>
  </w:style>
  <w:style w:type="character" w:customStyle="1" w:styleId="af2">
    <w:name w:val="批注主题 字符"/>
    <w:basedOn w:val="a4"/>
    <w:link w:val="af1"/>
    <w:uiPriority w:val="99"/>
    <w:semiHidden/>
    <w:qFormat/>
    <w:rPr>
      <w:rFonts w:ascii="Times New Roman" w:eastAsia="方正仿宋_GBK" w:hAnsi="Times New Roman"/>
      <w:b/>
      <w:bCs/>
      <w:kern w:val="2"/>
      <w:sz w:val="32"/>
      <w:szCs w:val="22"/>
    </w:rPr>
  </w:style>
  <w:style w:type="paragraph" w:styleId="af9">
    <w:name w:val="List Paragraph"/>
    <w:basedOn w:val="a"/>
    <w:uiPriority w:val="99"/>
    <w:qFormat/>
    <w:pPr>
      <w:spacing w:line="600" w:lineRule="exact"/>
      <w:ind w:firstLineChars="200" w:firstLine="420"/>
    </w:pPr>
    <w:rPr>
      <w:rFonts w:ascii="Times New Roman" w:eastAsia="方正仿宋_GBK" w:hAnsi="Times New Roman" w:cstheme="minorBidi"/>
      <w:sz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b/>
      <w:bCs/>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方正仿宋_GBK" w:eastAsia="方正仿宋_GBK" w:hAnsi="宋体" w:cs="宋体"/>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方正仿宋_GBK" w:eastAsia="方正仿宋_GBK" w:hAnsi="宋体" w:cs="宋体"/>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方正仿宋_GBK" w:eastAsia="方正仿宋_GBK"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b/>
      <w:bCs/>
      <w:kern w:val="0"/>
      <w:sz w:val="24"/>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b/>
      <w:bCs/>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方正仿宋_GBK" w:eastAsia="方正仿宋_GBK" w:hAnsi="宋体" w:cs="宋体"/>
      <w:b/>
      <w:bCs/>
      <w:kern w:val="0"/>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b/>
      <w:bCs/>
      <w:color w:val="000000"/>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方正仿宋_GBK" w:eastAsia="方正仿宋_GBK"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方正仿宋_GBK" w:eastAsia="方正仿宋_GBK"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b/>
      <w:bCs/>
      <w:color w:val="000000"/>
      <w:kern w:val="0"/>
      <w:sz w:val="38"/>
      <w:szCs w:val="38"/>
    </w:rPr>
  </w:style>
  <w:style w:type="paragraph" w:customStyle="1" w:styleId="xl97">
    <w:name w:val="xl97"/>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color w:val="FF0000"/>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宋体" w:hAnsi="宋体" w:cs="宋体"/>
      <w:color w:val="FF0000"/>
      <w:kern w:val="0"/>
      <w:sz w:val="24"/>
      <w:szCs w:val="24"/>
    </w:rPr>
  </w:style>
  <w:style w:type="paragraph" w:customStyle="1" w:styleId="xl99">
    <w:name w:val="xl99"/>
    <w:basedOn w:val="a"/>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textAlignment w:val="center"/>
    </w:pPr>
    <w:rPr>
      <w:rFonts w:ascii="宋体" w:hAnsi="宋体" w:cs="宋体"/>
      <w:b/>
      <w:bCs/>
      <w:kern w:val="0"/>
      <w:sz w:val="24"/>
      <w:szCs w:val="24"/>
    </w:rPr>
  </w:style>
  <w:style w:type="paragraph" w:customStyle="1" w:styleId="xl71">
    <w:name w:val="xl71"/>
    <w:basedOn w:val="a"/>
    <w:qFormat/>
    <w:pPr>
      <w:widowControl/>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xl77">
    <w:name w:val="xl77"/>
    <w:basedOn w:val="a"/>
    <w:qFormat/>
    <w:pPr>
      <w:widowControl/>
      <w:pBdr>
        <w:left w:val="single" w:sz="4" w:space="0" w:color="auto"/>
        <w:bottom w:val="single" w:sz="4" w:space="0" w:color="auto"/>
      </w:pBdr>
      <w:shd w:val="clear" w:color="000000" w:fill="C0C0C0"/>
      <w:spacing w:before="100" w:beforeAutospacing="1" w:after="100" w:afterAutospacing="1"/>
      <w:jc w:val="left"/>
      <w:textAlignment w:val="center"/>
    </w:pPr>
    <w:rPr>
      <w:rFonts w:ascii="宋体" w:hAnsi="宋体" w:cs="宋体"/>
      <w:kern w:val="0"/>
      <w:sz w:val="24"/>
      <w:szCs w:val="24"/>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99CCFF"/>
      <w:spacing w:before="100" w:beforeAutospacing="1" w:after="100" w:afterAutospacing="1"/>
      <w:jc w:val="right"/>
      <w:textAlignment w:val="center"/>
    </w:pPr>
    <w:rPr>
      <w:rFonts w:ascii="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textAlignment w:val="center"/>
    </w:pPr>
    <w:rPr>
      <w:rFonts w:ascii="宋体" w:hAnsi="宋体" w:cs="宋体"/>
      <w:color w:val="FF0000"/>
      <w:kern w:val="0"/>
      <w:sz w:val="24"/>
      <w:szCs w:val="24"/>
    </w:rPr>
  </w:style>
  <w:style w:type="paragraph" w:customStyle="1" w:styleId="11">
    <w:name w:val="修订1"/>
    <w:hidden/>
    <w:uiPriority w:val="99"/>
    <w:semiHidden/>
    <w:qFormat/>
    <w:rPr>
      <w:rFonts w:ascii="Times New Roman" w:eastAsia="方正仿宋_GBK" w:hAnsi="Times New Roman"/>
      <w:kern w:val="2"/>
      <w:sz w:val="3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100">
    <w:name w:val="xl100"/>
    <w:basedOn w:val="a"/>
    <w:qFormat/>
    <w:pPr>
      <w:widowControl/>
      <w:pBdr>
        <w:top w:val="single" w:sz="4" w:space="0" w:color="auto"/>
        <w:bottom w:val="single" w:sz="4" w:space="0" w:color="auto"/>
      </w:pBdr>
      <w:shd w:val="clear" w:color="000000" w:fill="FCD5B4"/>
      <w:spacing w:before="100" w:beforeAutospacing="1" w:after="100" w:afterAutospacing="1"/>
      <w:jc w:val="left"/>
    </w:pPr>
    <w:rPr>
      <w:rFonts w:ascii="宋体" w:hAnsi="宋体" w:cs="宋体"/>
      <w:kern w:val="0"/>
      <w:sz w:val="24"/>
      <w:szCs w:val="24"/>
    </w:rPr>
  </w:style>
  <w:style w:type="paragraph" w:customStyle="1" w:styleId="xl101">
    <w:name w:val="xl101"/>
    <w:basedOn w:val="a"/>
    <w:qFormat/>
    <w:pPr>
      <w:widowControl/>
      <w:shd w:val="clear" w:color="000000" w:fill="FCD5B4"/>
      <w:spacing w:before="100" w:beforeAutospacing="1" w:after="100" w:afterAutospacing="1"/>
      <w:jc w:val="left"/>
    </w:pPr>
    <w:rPr>
      <w:rFonts w:ascii="宋体" w:hAnsi="宋体" w:cs="宋体"/>
      <w:kern w:val="0"/>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4"/>
      <w:szCs w:val="24"/>
    </w:rPr>
  </w:style>
  <w:style w:type="paragraph" w:customStyle="1" w:styleId="xl65">
    <w:name w:val="xl65"/>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D0D0D"/>
      <w:kern w:val="0"/>
      <w:sz w:val="24"/>
      <w:szCs w:val="24"/>
    </w:rPr>
  </w:style>
  <w:style w:type="paragraph" w:customStyle="1" w:styleId="xl66">
    <w:name w:val="xl66"/>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D0D0D"/>
      <w:kern w:val="0"/>
      <w:sz w:val="24"/>
      <w:szCs w:val="24"/>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10">
    <w:name w:val="修订11"/>
    <w:hidden/>
    <w:uiPriority w:val="99"/>
    <w:semiHidden/>
    <w:qFormat/>
    <w:rPr>
      <w:rFonts w:ascii="Times New Roman" w:eastAsia="方正仿宋_GBK" w:hAnsi="Times New Roman"/>
      <w:kern w:val="2"/>
      <w:sz w:val="32"/>
      <w:szCs w:val="22"/>
    </w:rPr>
  </w:style>
  <w:style w:type="paragraph" w:customStyle="1" w:styleId="xl167">
    <w:name w:val="xl167"/>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xl168">
    <w:name w:val="xl168"/>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xl169">
    <w:name w:val="xl169"/>
    <w:basedOn w:val="a"/>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center"/>
    </w:pPr>
    <w:rPr>
      <w:rFonts w:ascii="宋体" w:hAnsi="宋体" w:cs="宋体"/>
      <w:kern w:val="0"/>
      <w:sz w:val="20"/>
      <w:szCs w:val="20"/>
    </w:rPr>
  </w:style>
  <w:style w:type="paragraph" w:customStyle="1" w:styleId="xl170">
    <w:name w:val="xl170"/>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xl171">
    <w:name w:val="xl171"/>
    <w:basedOn w:val="a"/>
    <w:qFormat/>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xl172">
    <w:name w:val="xl172"/>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xl173">
    <w:name w:val="xl173"/>
    <w:basedOn w:val="a"/>
    <w:qFormat/>
    <w:pPr>
      <w:widowControl/>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74">
    <w:name w:val="xl174"/>
    <w:basedOn w:val="a"/>
    <w:qFormat/>
    <w:pPr>
      <w:widowControl/>
      <w:pBdr>
        <w:top w:val="single" w:sz="4" w:space="0" w:color="000000"/>
        <w:left w:val="single" w:sz="4" w:space="0" w:color="000000"/>
        <w:right w:val="single" w:sz="4" w:space="0" w:color="00000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xl175">
    <w:name w:val="xl175"/>
    <w:basedOn w:val="a"/>
    <w:qFormat/>
    <w:pPr>
      <w:widowControl/>
      <w:pBdr>
        <w:top w:val="single" w:sz="4" w:space="0" w:color="000000"/>
        <w:left w:val="single" w:sz="4" w:space="0" w:color="000000"/>
        <w:bottom w:val="single" w:sz="4" w:space="0" w:color="00000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76">
    <w:name w:val="xl176"/>
    <w:basedOn w:val="a"/>
    <w:qFormat/>
    <w:pPr>
      <w:widowControl/>
      <w:pBdr>
        <w:left w:val="single" w:sz="4" w:space="0" w:color="000000"/>
        <w:bottom w:val="single" w:sz="4" w:space="0" w:color="000000"/>
        <w:right w:val="single" w:sz="4" w:space="0" w:color="000000"/>
      </w:pBdr>
      <w:shd w:val="clear" w:color="000000" w:fill="99CCFF"/>
      <w:spacing w:before="100" w:beforeAutospacing="1" w:after="100" w:afterAutospacing="1"/>
      <w:jc w:val="right"/>
      <w:textAlignment w:val="center"/>
    </w:pPr>
    <w:rPr>
      <w:rFonts w:ascii="宋体" w:hAnsi="宋体" w:cs="宋体"/>
      <w:kern w:val="0"/>
      <w:sz w:val="20"/>
      <w:szCs w:val="20"/>
    </w:rPr>
  </w:style>
  <w:style w:type="paragraph" w:customStyle="1" w:styleId="xl177">
    <w:name w:val="xl177"/>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b/>
      <w:bCs/>
      <w:kern w:val="0"/>
      <w:sz w:val="20"/>
      <w:szCs w:val="20"/>
    </w:rPr>
  </w:style>
  <w:style w:type="paragraph" w:customStyle="1" w:styleId="xl178">
    <w:name w:val="xl178"/>
    <w:basedOn w:val="a"/>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center"/>
    </w:pPr>
    <w:rPr>
      <w:rFonts w:ascii="宋体" w:hAnsi="宋体" w:cs="宋体"/>
      <w:kern w:val="0"/>
      <w:sz w:val="20"/>
      <w:szCs w:val="20"/>
    </w:rPr>
  </w:style>
  <w:style w:type="paragraph" w:customStyle="1" w:styleId="xl179">
    <w:name w:val="xl179"/>
    <w:basedOn w:val="a"/>
    <w:qFormat/>
    <w:pPr>
      <w:widowControl/>
      <w:pBdr>
        <w:top w:val="single" w:sz="4" w:space="0" w:color="000000"/>
        <w:left w:val="single" w:sz="4" w:space="0" w:color="000000"/>
        <w:right w:val="single" w:sz="4" w:space="0" w:color="000000"/>
      </w:pBdr>
      <w:shd w:val="clear" w:color="000000" w:fill="BFBFBF"/>
      <w:spacing w:before="100" w:beforeAutospacing="1" w:after="100" w:afterAutospacing="1"/>
      <w:jc w:val="left"/>
      <w:textAlignment w:val="center"/>
    </w:pPr>
    <w:rPr>
      <w:rFonts w:ascii="宋体" w:hAnsi="宋体" w:cs="宋体"/>
      <w:b/>
      <w:bCs/>
      <w:kern w:val="0"/>
      <w:sz w:val="20"/>
      <w:szCs w:val="20"/>
    </w:rPr>
  </w:style>
  <w:style w:type="paragraph" w:customStyle="1" w:styleId="xl180">
    <w:name w:val="xl180"/>
    <w:basedOn w:val="a"/>
    <w:qFormat/>
    <w:pPr>
      <w:widowControl/>
      <w:pBdr>
        <w:top w:val="single" w:sz="4" w:space="0" w:color="000000"/>
        <w:left w:val="single" w:sz="4" w:space="0" w:color="000000"/>
        <w:bottom w:val="single" w:sz="4" w:space="0" w:color="000000"/>
      </w:pBdr>
      <w:shd w:val="clear" w:color="000000" w:fill="BFBFBF"/>
      <w:spacing w:before="100" w:beforeAutospacing="1" w:after="100" w:afterAutospacing="1"/>
      <w:jc w:val="left"/>
      <w:textAlignment w:val="center"/>
    </w:pPr>
    <w:rPr>
      <w:rFonts w:ascii="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方正仿宋_GBK" w:eastAsia="方正仿宋_GBK" w:hAnsi="宋体" w:cs="宋体"/>
      <w:color w:val="000000"/>
      <w:kern w:val="0"/>
      <w:sz w:val="22"/>
    </w:rPr>
  </w:style>
  <w:style w:type="paragraph" w:customStyle="1" w:styleId="font11">
    <w:name w:val="font11"/>
    <w:basedOn w:val="a"/>
    <w:qFormat/>
    <w:pPr>
      <w:widowControl/>
      <w:spacing w:before="100" w:beforeAutospacing="1" w:after="100" w:afterAutospacing="1"/>
      <w:jc w:val="left"/>
    </w:pPr>
    <w:rPr>
      <w:rFonts w:ascii="Times New Roman" w:hAnsi="Times New Roman"/>
      <w:kern w:val="0"/>
      <w:sz w:val="22"/>
    </w:rPr>
  </w:style>
  <w:style w:type="paragraph" w:customStyle="1" w:styleId="font12">
    <w:name w:val="font12"/>
    <w:basedOn w:val="a"/>
    <w:qFormat/>
    <w:pPr>
      <w:widowControl/>
      <w:spacing w:before="100" w:beforeAutospacing="1" w:after="100" w:afterAutospacing="1"/>
      <w:jc w:val="left"/>
    </w:pPr>
    <w:rPr>
      <w:rFonts w:ascii="方正仿宋_GBK" w:eastAsia="方正仿宋_GBK" w:hAnsi="宋体" w:cs="宋体"/>
      <w:kern w:val="0"/>
      <w:sz w:val="22"/>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golian Baiti" w:hAnsi="Mongolian Baiti" w:cs="Mongolian Baiti"/>
      <w:kern w:val="0"/>
      <w:sz w:val="24"/>
      <w:szCs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108">
    <w:name w:val="xl108"/>
    <w:basedOn w:val="a"/>
    <w:qFormat/>
    <w:pPr>
      <w:widowControl/>
      <w:pBdr>
        <w:top w:val="single" w:sz="4" w:space="0" w:color="auto"/>
        <w:left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eastAsia="方正仿宋_GBK" w:hAnsi="宋体" w:cs="宋体"/>
      <w:kern w:val="0"/>
      <w:sz w:val="24"/>
      <w:szCs w:val="24"/>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kern w:val="0"/>
      <w:sz w:val="24"/>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kern w:val="0"/>
      <w:sz w:val="24"/>
      <w:szCs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ongolian Baiti" w:hAnsi="Mongolian Baiti" w:cs="Mongolian Baiti"/>
      <w:kern w:val="0"/>
      <w:sz w:val="24"/>
      <w:szCs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Mongolian Baiti" w:hAnsi="Mongolian Baiti" w:cs="Mongolian Baiti"/>
      <w:kern w:val="0"/>
      <w:sz w:val="24"/>
      <w:szCs w:val="24"/>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119">
    <w:name w:val="xl11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120">
    <w:name w:val="xl12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方正仿宋_GBK" w:eastAsia="方正仿宋_GBK" w:hAnsi="宋体" w:cs="宋体"/>
      <w:color w:val="000000"/>
      <w:kern w:val="0"/>
      <w:sz w:val="24"/>
      <w:szCs w:val="24"/>
    </w:rPr>
  </w:style>
  <w:style w:type="paragraph" w:customStyle="1" w:styleId="xl121">
    <w:name w:val="xl121"/>
    <w:basedOn w:val="a"/>
    <w:qFormat/>
    <w:pPr>
      <w:widowControl/>
      <w:shd w:val="clear" w:color="000000" w:fill="FFFFFF"/>
      <w:spacing w:before="100" w:beforeAutospacing="1" w:after="100" w:afterAutospacing="1"/>
      <w:jc w:val="left"/>
    </w:pPr>
    <w:rPr>
      <w:rFonts w:ascii="Times New Roman" w:hAnsi="Times New Roman"/>
      <w:kern w:val="0"/>
      <w:sz w:val="24"/>
      <w:szCs w:val="2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72</Pages>
  <Words>4808</Words>
  <Characters>27409</Characters>
  <Application>Microsoft Office Word</Application>
  <DocSecurity>0</DocSecurity>
  <Lines>228</Lines>
  <Paragraphs>64</Paragraphs>
  <ScaleCrop>false</ScaleCrop>
  <Company>Microsoft</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鑫 郭</cp:lastModifiedBy>
  <cp:revision>16</cp:revision>
  <cp:lastPrinted>2025-09-17T09:44:00Z</cp:lastPrinted>
  <dcterms:created xsi:type="dcterms:W3CDTF">2024-08-26T02:58:00Z</dcterms:created>
  <dcterms:modified xsi:type="dcterms:W3CDTF">2025-10-11T02:41:00Z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6D4AEF86C5CD47D5A1D2E859357D3366</vt:lpwstr>
  </property>
</Properties>
</file>