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01D3A">
      <w:pPr>
        <w:adjustRightInd w:val="0"/>
        <w:snapToGrid w:val="0"/>
        <w:spacing w:line="600" w:lineRule="exact"/>
        <w:ind w:firstLine="440" w:firstLineChars="100"/>
        <w:jc w:val="both"/>
        <w:rPr>
          <w:rFonts w:hint="eastAsia" w:ascii="微软雅黑" w:hAnsi="微软雅黑" w:eastAsia="微软雅黑" w:cs="微软雅黑"/>
          <w:color w:val="auto"/>
          <w:sz w:val="44"/>
          <w:szCs w:val="44"/>
        </w:rPr>
      </w:pPr>
      <w:r>
        <w:rPr>
          <w:rFonts w:hint="eastAsia" w:ascii="微软雅黑" w:hAnsi="微软雅黑" w:eastAsia="微软雅黑" w:cs="微软雅黑"/>
          <w:sz w:val="44"/>
          <w:szCs w:val="44"/>
        </w:rPr>
        <w:t>渝高新综执罚字〔2024〕第34</w:t>
      </w:r>
      <w:r>
        <w:rPr>
          <w:rFonts w:hint="eastAsia" w:ascii="微软雅黑" w:hAnsi="微软雅黑" w:eastAsia="微软雅黑" w:cs="微软雅黑"/>
          <w:sz w:val="44"/>
          <w:szCs w:val="44"/>
          <w:lang w:val="en-US" w:eastAsia="zh-CN"/>
        </w:rPr>
        <w:t>20</w:t>
      </w:r>
      <w:r>
        <w:rPr>
          <w:rFonts w:hint="eastAsia" w:ascii="微软雅黑" w:hAnsi="微软雅黑" w:eastAsia="微软雅黑" w:cs="微软雅黑"/>
          <w:sz w:val="44"/>
          <w:szCs w:val="44"/>
        </w:rPr>
        <w:t>号</w:t>
      </w:r>
    </w:p>
    <w:tbl>
      <w:tblPr>
        <w:tblStyle w:val="5"/>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5262"/>
      </w:tblGrid>
      <w:tr w14:paraId="3299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361D6B9D">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行政相对人名称</w:t>
            </w:r>
          </w:p>
        </w:tc>
        <w:tc>
          <w:tcPr>
            <w:tcW w:w="5262" w:type="dxa"/>
            <w:vAlign w:val="top"/>
          </w:tcPr>
          <w:p w14:paraId="71254148">
            <w:pPr>
              <w:pStyle w:val="8"/>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default" w:ascii="方正仿宋_GBK" w:hAnsi="方正仿宋_GBK" w:eastAsia="方正仿宋_GBK" w:cs="方正仿宋_GBK"/>
                <w:kern w:val="2"/>
                <w:sz w:val="28"/>
                <w:szCs w:val="28"/>
                <w:u w:val="none"/>
                <w:lang w:val="en-US" w:eastAsia="zh-CN" w:bidi="zh-CN"/>
              </w:rPr>
            </w:pPr>
            <w:r>
              <w:rPr>
                <w:rFonts w:hint="eastAsia" w:ascii="方正仿宋_GBK" w:hAnsi="方正仿宋_GBK" w:eastAsia="方正仿宋_GBK" w:cs="方正仿宋_GBK"/>
                <w:kern w:val="2"/>
                <w:sz w:val="28"/>
                <w:szCs w:val="28"/>
                <w:u w:val="none"/>
                <w:lang w:val="zh-CN" w:eastAsia="zh-CN" w:bidi="zh-CN"/>
              </w:rPr>
              <w:t>重庆市九龙坡区金凤镇卫生院</w:t>
            </w:r>
          </w:p>
        </w:tc>
      </w:tr>
      <w:tr w14:paraId="2629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2051346B">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行政相对人代码</w:t>
            </w:r>
          </w:p>
          <w:p w14:paraId="4753204B">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(统一社会信用代码)</w:t>
            </w:r>
          </w:p>
        </w:tc>
        <w:tc>
          <w:tcPr>
            <w:tcW w:w="5262" w:type="dxa"/>
            <w:vAlign w:val="center"/>
          </w:tcPr>
          <w:p w14:paraId="082CA070">
            <w:pPr>
              <w:jc w:val="left"/>
              <w:rPr>
                <w:rFonts w:hint="default" w:ascii="Times New Roman" w:hAnsi="Times New Roman" w:eastAsia="方正仿宋_GBK" w:cs="Times New Roman"/>
                <w:color w:val="auto"/>
                <w:sz w:val="24"/>
                <w:szCs w:val="24"/>
                <w:lang w:val="en-US" w:eastAsia="zh-CN"/>
              </w:rPr>
            </w:pPr>
            <w:r>
              <w:rPr>
                <w:rFonts w:hint="eastAsia" w:ascii="Times New Roman"/>
                <w:sz w:val="24"/>
                <w:highlight w:val="none"/>
                <w:lang w:val="en-US" w:eastAsia="zh-CN"/>
              </w:rPr>
              <w:t>12500107450497544U</w:t>
            </w:r>
          </w:p>
        </w:tc>
      </w:tr>
      <w:tr w14:paraId="26C8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341DF417">
            <w:pPr>
              <w:jc w:val="center"/>
              <w:rPr>
                <w:rFonts w:hint="default"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法定代表人</w:t>
            </w:r>
          </w:p>
        </w:tc>
        <w:tc>
          <w:tcPr>
            <w:tcW w:w="5262" w:type="dxa"/>
            <w:vAlign w:val="center"/>
          </w:tcPr>
          <w:p w14:paraId="6CAE7D29">
            <w:pPr>
              <w:jc w:val="left"/>
              <w:rPr>
                <w:rFonts w:hint="default" w:ascii="Times New Roman" w:hAnsi="Times New Roman" w:eastAsia="方正仿宋_GBK" w:cs="Times New Roman"/>
                <w:color w:val="auto"/>
                <w:sz w:val="24"/>
                <w:szCs w:val="24"/>
                <w:lang w:val="en-US" w:eastAsia="zh-CN"/>
              </w:rPr>
            </w:pPr>
            <w:r>
              <w:rPr>
                <w:rFonts w:hint="eastAsia" w:ascii="Times New Roman"/>
                <w:sz w:val="24"/>
                <w:lang w:val="en-US" w:eastAsia="zh-CN"/>
              </w:rPr>
              <w:t>杜**</w:t>
            </w:r>
            <w:bookmarkStart w:id="0" w:name="_GoBack"/>
            <w:bookmarkEnd w:id="0"/>
          </w:p>
        </w:tc>
      </w:tr>
      <w:tr w14:paraId="0BC7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D1BD525">
            <w:pPr>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违法行为类型及依据</w:t>
            </w:r>
          </w:p>
        </w:tc>
        <w:tc>
          <w:tcPr>
            <w:tcW w:w="5262" w:type="dxa"/>
            <w:vAlign w:val="center"/>
          </w:tcPr>
          <w:p w14:paraId="0A724A2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hAnsi="方正仿宋_GBK" w:eastAsia="方正仿宋_GBK" w:cs="方正仿宋_GBK"/>
                <w:sz w:val="28"/>
                <w:szCs w:val="28"/>
                <w:u w:val="none"/>
                <w:lang w:val="en-US" w:eastAsia="zh-CN" w:bidi="zh-CN"/>
              </w:rPr>
            </w:pPr>
            <w:r>
              <w:rPr>
                <w:rFonts w:hint="eastAsia" w:ascii="方正仿宋_GBK" w:hAnsi="方正仿宋_GBK" w:eastAsia="方正仿宋_GBK" w:cs="方正仿宋_GBK"/>
                <w:sz w:val="28"/>
                <w:szCs w:val="28"/>
                <w:u w:val="none"/>
                <w:lang w:val="en-US" w:eastAsia="zh-CN" w:bidi="zh-CN"/>
              </w:rPr>
              <w:t>违反了《医疗保障基金使用监督管理条例》第十五条“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14:paraId="57915C0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hAnsi="方正仿宋_GBK" w:eastAsia="方正仿宋_GBK" w:cs="方正仿宋_GBK"/>
                <w:sz w:val="28"/>
                <w:szCs w:val="28"/>
                <w:u w:val="none"/>
                <w:lang w:val="en-US" w:eastAsia="zh-CN" w:bidi="zh-CN"/>
              </w:rPr>
            </w:pPr>
            <w:r>
              <w:rPr>
                <w:rFonts w:hint="eastAsia" w:ascii="方正仿宋_GBK" w:hAnsi="方正仿宋_GBK" w:eastAsia="方正仿宋_GBK" w:cs="方正仿宋_GBK"/>
                <w:sz w:val="28"/>
                <w:szCs w:val="28"/>
                <w:u w:val="none"/>
                <w:lang w:val="en-US" w:eastAsia="zh-CN" w:bidi="zh-CN"/>
              </w:rPr>
              <w:t>定点医药机构应当确保医疗保障基金支付的费用符合规定的支付范围；除急诊、抢救等特殊情形外，提供医疗保障基金支付范围以外的医药服务的，应当经参保人员或者其近亲属、监护人同意。”的规定</w:t>
            </w:r>
          </w:p>
          <w:p w14:paraId="201F4918">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outlineLvl w:val="9"/>
              <w:rPr>
                <w:rFonts w:hint="default" w:ascii="方正仿宋_GBK" w:hAnsi="方正仿宋_GBK" w:eastAsia="方正仿宋_GBK" w:cs="方正仿宋_GBK"/>
                <w:sz w:val="28"/>
                <w:szCs w:val="28"/>
                <w:u w:val="none"/>
                <w:lang w:val="en-US" w:eastAsia="zh-CN" w:bidi="zh-CN"/>
              </w:rPr>
            </w:pPr>
            <w:r>
              <w:rPr>
                <w:rFonts w:hint="eastAsia" w:ascii="方正仿宋_GBK" w:hAnsi="方正仿宋_GBK" w:eastAsia="方正仿宋_GBK" w:cs="方正仿宋_GBK"/>
                <w:color w:val="auto"/>
                <w:sz w:val="28"/>
                <w:szCs w:val="28"/>
                <w:u w:val="none"/>
                <w:lang w:val="en-US" w:eastAsia="zh-CN" w:bidi="zh-CN"/>
              </w:rPr>
              <w:t>《医疗保障基金使用监督管理条例》第二十条“医疗保障经办机构、定点医药机构等单位及其工作人员和参保人员等人员不得通过伪造、变造、隐匿、涂改、销毁医学文书、医学证明、会计凭证、电子信息等有关资料，或者虚构医药服务项目等方式，骗取医疗保障基金。”的规定</w:t>
            </w:r>
          </w:p>
        </w:tc>
      </w:tr>
      <w:tr w14:paraId="3B95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0778953F">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违法事实</w:t>
            </w:r>
          </w:p>
        </w:tc>
        <w:tc>
          <w:tcPr>
            <w:tcW w:w="5262" w:type="dxa"/>
            <w:vAlign w:val="center"/>
          </w:tcPr>
          <w:p w14:paraId="6AC9DB0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color w:val="auto"/>
                <w:sz w:val="24"/>
                <w:szCs w:val="24"/>
                <w:lang w:val="en-US" w:eastAsia="zh-CN"/>
              </w:rPr>
            </w:pPr>
            <w:r>
              <w:rPr>
                <w:rFonts w:hint="eastAsia" w:ascii="方正仿宋_GBK" w:hAnsi="方正仿宋_GBK" w:eastAsia="方正仿宋_GBK" w:cs="方正仿宋_GBK"/>
                <w:color w:val="auto"/>
                <w:sz w:val="28"/>
                <w:szCs w:val="28"/>
                <w:u w:val="none"/>
                <w:lang w:val="en-US" w:eastAsia="zh-CN" w:bidi="zh-CN"/>
              </w:rPr>
              <w:t>过度诊疗、虚构医疗项目、造成医疗保障基金损失的其他违法行为、将不属于医疗保障基金支付范围的医药费用纳入医疗保障基金结算</w:t>
            </w:r>
          </w:p>
        </w:tc>
      </w:tr>
      <w:tr w14:paraId="68F6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67FF8A4">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处罚依据</w:t>
            </w:r>
          </w:p>
        </w:tc>
        <w:tc>
          <w:tcPr>
            <w:tcW w:w="5262" w:type="dxa"/>
            <w:vAlign w:val="center"/>
          </w:tcPr>
          <w:p w14:paraId="1ABC361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outlineLvl w:val="9"/>
              <w:rPr>
                <w:rFonts w:hint="eastAsia" w:ascii="方正仿宋_GBK" w:hAnsi="方正仿宋_GBK" w:eastAsia="方正仿宋_GBK" w:cs="方正仿宋_GBK"/>
                <w:sz w:val="28"/>
                <w:szCs w:val="28"/>
                <w:highlight w:val="none"/>
                <w:u w:val="none"/>
                <w:lang w:val="en-US" w:eastAsia="zh-CN"/>
              </w:rPr>
            </w:pPr>
            <w:r>
              <w:rPr>
                <w:rFonts w:hint="eastAsia" w:ascii="方正仿宋_GBK" w:hAnsi="方正仿宋_GBK" w:eastAsia="方正仿宋_GBK" w:cs="方正仿宋_GBK"/>
                <w:sz w:val="28"/>
                <w:szCs w:val="28"/>
                <w:u w:val="none"/>
                <w:lang w:val="en-US" w:eastAsia="zh-CN" w:bidi="zh-CN"/>
              </w:rPr>
              <w:t>依据《医疗保障基金使用监督管理条例》第三十八条第</w:t>
            </w:r>
            <w:r>
              <w:rPr>
                <w:rFonts w:hint="eastAsia" w:ascii="方正仿宋_GBK" w:hAnsi="方正仿宋_GBK" w:eastAsia="方正仿宋_GBK" w:cs="方正仿宋_GBK"/>
                <w:sz w:val="28"/>
                <w:szCs w:val="28"/>
                <w:highlight w:val="none"/>
                <w:u w:val="none"/>
                <w:lang w:val="en-US" w:eastAsia="zh-CN"/>
              </w:rPr>
              <w:t>（二）、（六）、（七）项“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r>
              <w:rPr>
                <w:rFonts w:hint="eastAsia" w:ascii="方正仿宋_GBK" w:hAnsi="方正仿宋_GBK" w:eastAsia="方正仿宋_GBK" w:cs="方正仿宋_GBK"/>
                <w:sz w:val="28"/>
                <w:szCs w:val="28"/>
                <w:highlight w:val="none"/>
                <w:u w:val="none"/>
                <w:lang w:eastAsia="zh-CN"/>
              </w:rPr>
              <w:t>（二）违反诊疗规范过度诊疗、过度检查、分解处方、超量开药、重复开药或者提供其他不必要的医药服务；</w:t>
            </w:r>
            <w:r>
              <w:rPr>
                <w:rFonts w:hint="eastAsia" w:ascii="方正仿宋_GBK" w:hAnsi="方正仿宋_GBK" w:eastAsia="方正仿宋_GBK" w:cs="方正仿宋_GBK"/>
                <w:sz w:val="28"/>
                <w:szCs w:val="28"/>
                <w:highlight w:val="none"/>
                <w:u w:val="none"/>
                <w:lang w:val="en-US" w:eastAsia="zh-CN"/>
              </w:rPr>
              <w:t>（六）将不属于医疗保障基金支付范围的医药费用纳入医疗保障基金结算；（七）造成医疗保障基金损失的其他违法行为。”的规定</w:t>
            </w:r>
          </w:p>
          <w:p w14:paraId="170CFE2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方正仿宋_GBK" w:hAnsi="方正仿宋_GBK" w:eastAsia="方正仿宋_GBK" w:cs="方正仿宋_GBK"/>
                <w:sz w:val="28"/>
                <w:szCs w:val="28"/>
                <w:highlight w:val="none"/>
                <w:u w:val="none"/>
                <w:lang w:val="en-US" w:eastAsia="zh-CN"/>
              </w:rPr>
            </w:pPr>
            <w:r>
              <w:rPr>
                <w:rFonts w:hint="eastAsia" w:ascii="方正仿宋_GBK" w:hAnsi="方正仿宋_GBK" w:eastAsia="方正仿宋_GBK" w:cs="方正仿宋_GBK"/>
                <w:sz w:val="28"/>
                <w:szCs w:val="28"/>
                <w:highlight w:val="none"/>
                <w:u w:val="none"/>
                <w:lang w:val="en-US" w:eastAsia="zh-CN"/>
              </w:rPr>
              <w:t>《医疗保障基金使用监督管理条例》第四十条第（三）项“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三）虚构医药服务项目；”的规定</w:t>
            </w:r>
          </w:p>
        </w:tc>
      </w:tr>
      <w:tr w14:paraId="7F64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567CFD13">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处罚内容</w:t>
            </w:r>
          </w:p>
        </w:tc>
        <w:tc>
          <w:tcPr>
            <w:tcW w:w="5262" w:type="dxa"/>
            <w:vAlign w:val="center"/>
          </w:tcPr>
          <w:p w14:paraId="08B4CEF4">
            <w:pPr>
              <w:jc w:val="left"/>
              <w:rPr>
                <w:rFonts w:hint="default" w:ascii="Times New Roman" w:hAnsi="Times New Roman" w:eastAsia="方正仿宋_GBK" w:cs="Times New Roman"/>
                <w:color w:val="auto"/>
                <w:sz w:val="24"/>
                <w:szCs w:val="24"/>
              </w:rPr>
            </w:pPr>
            <w:r>
              <w:rPr>
                <w:rFonts w:hint="eastAsia" w:ascii="方正仿宋_GBK" w:hAnsi="方正仿宋_GBK" w:eastAsia="方正仿宋_GBK" w:cs="方正仿宋_GBK"/>
                <w:sz w:val="28"/>
                <w:szCs w:val="28"/>
                <w:u w:val="single"/>
                <w:lang w:val="en-US" w:eastAsia="zh-CN" w:bidi="zh-CN"/>
              </w:rPr>
              <w:t>罚款</w:t>
            </w:r>
            <w:r>
              <w:rPr>
                <w:rFonts w:hint="eastAsia" w:ascii="方正仿宋_GBK" w:hAnsi="方正仿宋_GBK" w:eastAsia="方正仿宋_GBK" w:cs="方正仿宋_GBK"/>
                <w:sz w:val="28"/>
                <w:szCs w:val="28"/>
                <w:highlight w:val="none"/>
                <w:u w:val="single"/>
                <w:lang w:val="en-US" w:eastAsia="zh-CN"/>
              </w:rPr>
              <w:t>208472.47</w:t>
            </w:r>
            <w:r>
              <w:rPr>
                <w:rFonts w:hint="eastAsia" w:ascii="方正仿宋_GBK" w:hAnsi="方正仿宋_GBK" w:eastAsia="方正仿宋_GBK" w:cs="方正仿宋_GBK"/>
                <w:sz w:val="28"/>
                <w:szCs w:val="28"/>
                <w:u w:val="single"/>
                <w:lang w:val="en-US" w:eastAsia="zh-CN" w:bidi="zh-CN"/>
              </w:rPr>
              <w:t>元</w:t>
            </w:r>
          </w:p>
        </w:tc>
      </w:tr>
      <w:tr w14:paraId="347C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01997841">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处罚决定日期</w:t>
            </w:r>
          </w:p>
        </w:tc>
        <w:tc>
          <w:tcPr>
            <w:tcW w:w="5262" w:type="dxa"/>
            <w:vAlign w:val="center"/>
          </w:tcPr>
          <w:p w14:paraId="5A41A8AA">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202</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lang w:eastAsia="zh-CN"/>
              </w:rPr>
              <w:t>年</w:t>
            </w: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10</w:t>
            </w:r>
            <w:r>
              <w:rPr>
                <w:rFonts w:hint="default" w:ascii="Times New Roman" w:hAnsi="Times New Roman" w:eastAsia="方正仿宋_GBK" w:cs="Times New Roman"/>
                <w:color w:val="auto"/>
                <w:sz w:val="24"/>
                <w:szCs w:val="24"/>
                <w:lang w:eastAsia="zh-CN"/>
              </w:rPr>
              <w:t>日</w:t>
            </w:r>
          </w:p>
        </w:tc>
      </w:tr>
      <w:tr w14:paraId="752E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2B26AACE">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处罚机关</w:t>
            </w:r>
          </w:p>
        </w:tc>
        <w:tc>
          <w:tcPr>
            <w:tcW w:w="5262" w:type="dxa"/>
            <w:vAlign w:val="center"/>
          </w:tcPr>
          <w:p w14:paraId="02E90B2A">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重庆高新技术产业开发区管理委员会综合执法局</w:t>
            </w:r>
          </w:p>
        </w:tc>
      </w:tr>
      <w:tr w14:paraId="5966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49D9BFDF">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数据来源单位</w:t>
            </w:r>
          </w:p>
        </w:tc>
        <w:tc>
          <w:tcPr>
            <w:tcW w:w="5262" w:type="dxa"/>
            <w:vAlign w:val="center"/>
          </w:tcPr>
          <w:p w14:paraId="42F03AA4">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重庆高新技术产业开发区管理委员会</w:t>
            </w:r>
          </w:p>
        </w:tc>
      </w:tr>
    </w:tbl>
    <w:p w14:paraId="19B527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方正小标宋简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1" w:fontKey="{AF11E6AD-37F8-4030-95F5-FFAAC908BD93}"/>
  </w:font>
  <w:font w:name="方正仿宋_GBK">
    <w:panose1 w:val="03000509000000000000"/>
    <w:charset w:val="86"/>
    <w:family w:val="script"/>
    <w:pitch w:val="default"/>
    <w:sig w:usb0="00000001" w:usb1="080E0000" w:usb2="00000000" w:usb3="00000000" w:csb0="00040000" w:csb1="00000000"/>
    <w:embedRegular r:id="rId2" w:fontKey="{29CF9056-EF56-4AF8-91B6-F5A70B5AA34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2UyZmY3MTE0NzljYmIzOTBhNWY0MjAzZDBlOGYifQ=="/>
  </w:docVars>
  <w:rsids>
    <w:rsidRoot w:val="5D3D7C60"/>
    <w:rsid w:val="00577B68"/>
    <w:rsid w:val="00944535"/>
    <w:rsid w:val="01C35AF5"/>
    <w:rsid w:val="059D4F77"/>
    <w:rsid w:val="072D7C8A"/>
    <w:rsid w:val="073A0746"/>
    <w:rsid w:val="077F0CC8"/>
    <w:rsid w:val="095D513F"/>
    <w:rsid w:val="0D34174A"/>
    <w:rsid w:val="0DA54270"/>
    <w:rsid w:val="119B2474"/>
    <w:rsid w:val="13A44DE1"/>
    <w:rsid w:val="17427046"/>
    <w:rsid w:val="19581271"/>
    <w:rsid w:val="1C8D0BA8"/>
    <w:rsid w:val="1F79606A"/>
    <w:rsid w:val="1FB65DB1"/>
    <w:rsid w:val="297CF762"/>
    <w:rsid w:val="2C804B8A"/>
    <w:rsid w:val="2F577BEF"/>
    <w:rsid w:val="300E2B44"/>
    <w:rsid w:val="30187F75"/>
    <w:rsid w:val="317C5B56"/>
    <w:rsid w:val="36941893"/>
    <w:rsid w:val="3BDE2409"/>
    <w:rsid w:val="3D055CB3"/>
    <w:rsid w:val="454C040E"/>
    <w:rsid w:val="45CC64E0"/>
    <w:rsid w:val="47B2035D"/>
    <w:rsid w:val="48313978"/>
    <w:rsid w:val="49674EA4"/>
    <w:rsid w:val="4EED6A89"/>
    <w:rsid w:val="4EF53D2C"/>
    <w:rsid w:val="4F8459D6"/>
    <w:rsid w:val="526A6743"/>
    <w:rsid w:val="571C6CC5"/>
    <w:rsid w:val="593257A1"/>
    <w:rsid w:val="5C736CF4"/>
    <w:rsid w:val="5D3D7C60"/>
    <w:rsid w:val="5D4C366E"/>
    <w:rsid w:val="605E68E9"/>
    <w:rsid w:val="65E87633"/>
    <w:rsid w:val="67AD6CA4"/>
    <w:rsid w:val="681A7632"/>
    <w:rsid w:val="6D1F1741"/>
    <w:rsid w:val="70587444"/>
    <w:rsid w:val="721013F3"/>
    <w:rsid w:val="72AA3781"/>
    <w:rsid w:val="77993E11"/>
    <w:rsid w:val="78FD60C6"/>
    <w:rsid w:val="791D747D"/>
    <w:rsid w:val="7B636F5A"/>
    <w:rsid w:val="7BC96724"/>
    <w:rsid w:val="7CC878DE"/>
    <w:rsid w:val="7FDB46DD"/>
    <w:rsid w:val="BF2A4F80"/>
    <w:rsid w:val="D9656181"/>
    <w:rsid w:val="FBEEA895"/>
    <w:rsid w:val="FDFE9A16"/>
    <w:rsid w:val="FEBFB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0" w:lineRule="atLeast"/>
    </w:pPr>
    <w:rPr>
      <w:rFonts w:eastAsia="小标宋"/>
      <w:kern w:val="0"/>
      <w:sz w:val="44"/>
      <w:szCs w:val="20"/>
      <w:lang w:val="zh-CN"/>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1102</Words>
  <Characters>1137</Characters>
  <Lines>2</Lines>
  <Paragraphs>1</Paragraphs>
  <TotalTime>4</TotalTime>
  <ScaleCrop>false</ScaleCrop>
  <LinksUpToDate>false</LinksUpToDate>
  <CharactersWithSpaces>1137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2023-10-10T10:54:00Z</dcterms:created>
  <dc:creator>扎多</dc:creator>
  <cp:lastModifiedBy>扎多</cp:lastModifiedBy>
  <dcterms:modified xsi:type="dcterms:W3CDTF">2025-01-13T02:22:41Z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3858A4AAAD6AE572F0718067F676D2D4_43</vt:lpwstr>
  </property>
  <property fmtid="{D5CDD505-2E9C-101B-9397-08002B2CF9AE}" pid="4" name="KSOTemplateDocerSaveRecord">
    <vt:lpwstr>eyJoZGlkIjoiOGE3M2NmZDc1Zjg3OTA0MDlhMTU4ZDg3NzkwNTA0ZjgiLCJ1c2VySWQiOiIzMDI0MTI1NTQifQ==</vt:lpwstr>
  </property>
</Properties>
</file>