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ADD9">
      <w:pPr>
        <w:pStyle w:val="9"/>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重庆市沙坪坝区曾家镇农业服务中心</w:t>
      </w:r>
    </w:p>
    <w:p w14:paraId="0AB27DFC">
      <w:pPr>
        <w:pStyle w:val="9"/>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08CC815">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textAlignment w:val="auto"/>
        <w:rPr>
          <w:rStyle w:val="13"/>
          <w:rFonts w:ascii="Times New Roman" w:hAnsi="Times New Roman" w:eastAsia="黑体" w:cs="黑体"/>
          <w:sz w:val="32"/>
          <w:szCs w:val="32"/>
          <w:shd w:val="clear" w:color="auto" w:fill="FFFFFF"/>
        </w:rPr>
      </w:pPr>
    </w:p>
    <w:p w14:paraId="671513CA">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一、单位基本情况</w:t>
      </w:r>
    </w:p>
    <w:p w14:paraId="703CDAFD">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 w:val="0"/>
          <w:bCs/>
          <w:sz w:val="32"/>
          <w:szCs w:val="32"/>
          <w:shd w:val="clear" w:color="auto" w:fill="FFFFFF"/>
        </w:rPr>
        <w:t>（一）职能职责</w:t>
      </w:r>
    </w:p>
    <w:p w14:paraId="52833260">
      <w:pPr>
        <w:keepNext w:val="0"/>
        <w:keepLines w:val="0"/>
        <w:pageBreakBefore w:val="0"/>
        <w:widowControl w:val="0"/>
        <w:shd w:val="clear"/>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sz w:val="32"/>
          <w:szCs w:val="20"/>
        </w:rPr>
      </w:pPr>
      <w:r>
        <w:rPr>
          <w:rFonts w:ascii="Times New Roman" w:hAnsi="Times New Roman" w:eastAsia="方正仿宋_GBK"/>
          <w:sz w:val="32"/>
          <w:szCs w:val="20"/>
        </w:rPr>
        <w:t>制定和组织实施镇村的集镇建设规划，加强公用设施建设、水利建设、土地使用管理和环境综合治理，合理利用自然资源，保护和改善生活环境和生态环境。单位现行的职能职责。</w:t>
      </w:r>
    </w:p>
    <w:p w14:paraId="5B602326">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 w:val="0"/>
          <w:bCs/>
          <w:sz w:val="32"/>
          <w:szCs w:val="32"/>
          <w:shd w:val="clear" w:color="auto" w:fill="FFFFFF"/>
        </w:rPr>
        <w:t>（二）机构设置</w:t>
      </w:r>
    </w:p>
    <w:p w14:paraId="026A5F1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ascii="Times New Roman" w:hAnsi="Times New Roman" w:eastAsia="方正仿宋_GBK"/>
          <w:sz w:val="32"/>
          <w:szCs w:val="20"/>
        </w:rPr>
      </w:pPr>
      <w:r>
        <w:rPr>
          <w:rFonts w:ascii="Times New Roman" w:hAnsi="Times New Roman" w:eastAsia="方正仿宋_GBK"/>
          <w:sz w:val="32"/>
          <w:szCs w:val="20"/>
        </w:rPr>
        <w:t>本单位设置曾家镇农业服务中心1个，为事业单位，无内设部门。</w:t>
      </w:r>
    </w:p>
    <w:p w14:paraId="3FB4099B">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二、单位决算收支情况说明</w:t>
      </w:r>
    </w:p>
    <w:p w14:paraId="5AC24909">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（一）收入支出决算总体情况说明</w:t>
      </w:r>
    </w:p>
    <w:p w14:paraId="48DCD0B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p>
    <w:p w14:paraId="3A99338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1F3A60F8">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240.69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CF29F13">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6251A770">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（二）财政拨款收入支出决算总体情况说明</w:t>
      </w:r>
    </w:p>
    <w:p w14:paraId="7426179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p>
    <w:p w14:paraId="3FFF4451">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（三）一般公共预算财政拨款收入支出决算情况说明</w:t>
      </w:r>
    </w:p>
    <w:p w14:paraId="6A1C97E4">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hint="default" w:ascii="Times New Roman" w:hAnsi="Times New Roman" w:eastAsia="方正仿宋_GBK"/>
          <w:sz w:val="32"/>
          <w:szCs w:val="32"/>
          <w:shd w:val="clear" w:color="auto" w:fill="FFFFFF"/>
        </w:rPr>
        <w:t>较年初预算数增加116.48万元，增长86.8%</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5A83D8FC">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250.66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与2023年度相比，减少394.04万元，下降61.1%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lang w:eastAsia="zh-CN"/>
        </w:rPr>
        <w:t>严格落实“过紧日子”精神，压减一般性项目支出</w:t>
      </w:r>
      <w:r>
        <w:rPr>
          <w:rFonts w:hint="eastAsia" w:ascii="Times New Roman" w:hAnsi="Times New Roman" w:eastAsia="方正仿宋_GBK" w:cs="方正仿宋_GBK"/>
          <w:sz w:val="32"/>
          <w:szCs w:val="32"/>
          <w:shd w:val="clear" w:color="auto" w:fill="FFFFFF"/>
          <w:lang w:eastAsia="zh-CN"/>
        </w:rPr>
        <w:t>和人员减少等。</w:t>
      </w:r>
      <w:r>
        <w:rPr>
          <w:rFonts w:hint="default" w:ascii="Times New Roman" w:hAnsi="Times New Roman" w:eastAsia="方正仿宋_GBK"/>
          <w:sz w:val="32"/>
          <w:szCs w:val="32"/>
          <w:shd w:val="clear" w:color="auto" w:fill="FFFFFF"/>
        </w:rPr>
        <w:t>较年初预算数增加116.48万元，增长86.8%</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592CCE2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2408117C">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57.19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较年初预算数增加11.01万元，增长23.8%</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0366CF7F">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6.04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较年初预算数增加1.34万元，增长28.5%</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3AF8BC9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182.04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较年初预算数增加102.91万元，增长130.1%</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75486179">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5.39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较年初预算数增加1.23万元，增长29.6%</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bookmarkStart w:id="0" w:name="_GoBack"/>
      <w:bookmarkEnd w:id="0"/>
      <w:r>
        <w:rPr>
          <w:rFonts w:hint="eastAsia" w:ascii="Times New Roman" w:hAnsi="Times New Roman" w:eastAsia="方正仿宋_GBK" w:cs="方正仿宋_GBK"/>
          <w:sz w:val="32"/>
          <w:szCs w:val="32"/>
          <w:shd w:val="clear" w:color="auto" w:fill="FFFFFF"/>
          <w:lang w:eastAsia="zh-CN"/>
        </w:rPr>
        <w:t>。</w:t>
      </w:r>
    </w:p>
    <w:p w14:paraId="68B75F20">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7AFA6E25">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（四）一般公共预算财政拨款基本支出决算情况说明</w:t>
      </w:r>
    </w:p>
    <w:p w14:paraId="39BE6B28">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240.69</w:t>
      </w:r>
      <w:r>
        <w:rPr>
          <w:rFonts w:ascii="Times New Roman" w:hAnsi="Times New Roman" w:eastAsia="方正仿宋_GBK" w:cs="方正仿宋_GBK"/>
          <w:sz w:val="32"/>
          <w:szCs w:val="32"/>
          <w:shd w:val="clear" w:color="auto" w:fill="FFFFFF"/>
        </w:rPr>
        <w:t>万元。</w:t>
      </w:r>
    </w:p>
    <w:p w14:paraId="6C5A575D">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7CCFD99E">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215.15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与2023年度相比，减少28.84万元，下降11.8%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本单位有</w:t>
      </w:r>
      <w:r>
        <w:rPr>
          <w:rFonts w:hint="eastAsia" w:ascii="Times New Roman" w:hAnsi="Times New Roman" w:eastAsia="方正仿宋_GBK" w:cs="方正仿宋_GBK"/>
          <w:sz w:val="32"/>
          <w:szCs w:val="32"/>
          <w:shd w:val="clear" w:color="auto" w:fill="FFFFFF"/>
          <w:lang w:val="en-US" w:eastAsia="zh-CN"/>
        </w:rPr>
        <w:t>1人退休，人员减少等。</w:t>
      </w:r>
      <w:r>
        <w:rPr>
          <w:rFonts w:ascii="Times New Roman" w:hAnsi="Times New Roman" w:eastAsia="方正仿宋_GBK" w:cs="方正仿宋_GBK"/>
          <w:sz w:val="32"/>
          <w:szCs w:val="32"/>
        </w:rPr>
        <w:t>人员经费用途主要包括基本工资、津贴补贴、</w:t>
      </w:r>
      <w:r>
        <w:rPr>
          <w:rFonts w:hint="eastAsia" w:ascii="Times New Roman" w:hAnsi="Times New Roman" w:eastAsia="方正仿宋_GBK" w:cs="方正仿宋_GBK"/>
          <w:sz w:val="32"/>
          <w:szCs w:val="32"/>
          <w:lang w:eastAsia="zh-CN"/>
        </w:rPr>
        <w:t>绩效工资</w:t>
      </w:r>
      <w:r>
        <w:rPr>
          <w:rFonts w:ascii="Times New Roman" w:hAnsi="Times New Roman" w:eastAsia="方正仿宋_GBK" w:cs="方正仿宋_GBK"/>
          <w:sz w:val="32"/>
          <w:szCs w:val="32"/>
        </w:rPr>
        <w:t>、社会保障缴费</w:t>
      </w:r>
      <w:r>
        <w:rPr>
          <w:rFonts w:hint="eastAsia" w:ascii="Times New Roman" w:hAnsi="Times New Roman" w:eastAsia="方正仿宋_GBK" w:cs="方正仿宋_GBK"/>
          <w:sz w:val="32"/>
          <w:szCs w:val="32"/>
          <w:lang w:eastAsia="zh-CN"/>
        </w:rPr>
        <w:t>、住房公积金等</w:t>
      </w:r>
      <w:r>
        <w:rPr>
          <w:rFonts w:ascii="Times New Roman" w:hAnsi="Times New Roman" w:eastAsia="方正仿宋_GBK" w:cs="方正仿宋_GBK"/>
          <w:sz w:val="32"/>
          <w:szCs w:val="32"/>
        </w:rPr>
        <w:t>。</w:t>
      </w:r>
    </w:p>
    <w:p w14:paraId="211A953A">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25.53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与2023年度相比，减少13.74万元，下降35.0%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本单位有</w:t>
      </w:r>
      <w:r>
        <w:rPr>
          <w:rFonts w:hint="eastAsia" w:ascii="Times New Roman" w:hAnsi="Times New Roman" w:eastAsia="方正仿宋_GBK" w:cs="方正仿宋_GBK"/>
          <w:sz w:val="32"/>
          <w:szCs w:val="32"/>
          <w:shd w:val="clear" w:color="auto" w:fill="FFFFFF"/>
          <w:lang w:val="en-US" w:eastAsia="zh-CN"/>
        </w:rPr>
        <w:t>1人退休，人员减少等。</w:t>
      </w:r>
      <w:r>
        <w:rPr>
          <w:rFonts w:ascii="Times New Roman" w:hAnsi="Times New Roman" w:eastAsia="方正仿宋_GBK" w:cs="方正仿宋_GBK"/>
          <w:sz w:val="32"/>
          <w:szCs w:val="32"/>
        </w:rPr>
        <w:t>公用经费用途主要包括培训费、</w:t>
      </w:r>
      <w:r>
        <w:rPr>
          <w:rFonts w:hint="eastAsia" w:ascii="Times New Roman" w:hAnsi="Times New Roman" w:eastAsia="方正仿宋_GBK" w:cs="方正仿宋_GBK"/>
          <w:sz w:val="32"/>
          <w:szCs w:val="32"/>
          <w:lang w:eastAsia="zh-CN"/>
        </w:rPr>
        <w:t>委托业务费</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工会经费、福利费</w:t>
      </w:r>
      <w:r>
        <w:rPr>
          <w:rFonts w:ascii="Times New Roman" w:hAnsi="Times New Roman" w:eastAsia="方正仿宋_GBK" w:cs="方正仿宋_GBK"/>
          <w:sz w:val="32"/>
          <w:szCs w:val="32"/>
        </w:rPr>
        <w:t>、公务用车运行维护费。</w:t>
      </w:r>
    </w:p>
    <w:p w14:paraId="7AB2B99F">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（五）政府性基金预算收支决算情况说明</w:t>
      </w:r>
    </w:p>
    <w:p w14:paraId="67F978CF">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本</w:t>
      </w:r>
      <w:r>
        <w:rPr>
          <w:rFonts w:ascii="Times New Roman" w:hAnsi="Times New Roman" w:eastAsia="方正仿宋_GBK" w:cs="方正仿宋_GBK"/>
          <w:sz w:val="32"/>
          <w:szCs w:val="32"/>
          <w:shd w:val="clear" w:color="auto" w:fill="FFFFFF"/>
        </w:rPr>
        <w:t>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年度无政府性基金预算财政拨款收支。</w:t>
      </w:r>
    </w:p>
    <w:p w14:paraId="7D96575F">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（六）国有资本经营预算财政拨款支出决算情况说明</w:t>
      </w:r>
    </w:p>
    <w:p w14:paraId="7F09F99A">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本单位2024年度无国有资本经营预算财政拨款支出。</w:t>
      </w:r>
    </w:p>
    <w:p w14:paraId="12BC887A">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三、财政拨款“三公”经费情况说明</w:t>
      </w:r>
    </w:p>
    <w:p w14:paraId="5504810A">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（一）“三公”经费支出总体情况说明</w:t>
      </w:r>
    </w:p>
    <w:p w14:paraId="19752924">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0.58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较年初预算数减少4.42万元，下降88.4%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费用等。</w:t>
      </w:r>
      <w:r>
        <w:rPr>
          <w:rFonts w:hint="default" w:ascii="Times New Roman" w:hAnsi="Times New Roman" w:eastAsia="方正仿宋_GBK"/>
          <w:sz w:val="32"/>
          <w:szCs w:val="32"/>
          <w:shd w:val="clear" w:color="auto" w:fill="FFFFFF"/>
        </w:rPr>
        <w:t>较上年支出数减少4.42万元，下降88.4%</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主要原因是本年度落实加强对车辆的管理，合理规划出车任务，降低公务车运行维护费用等。</w:t>
      </w:r>
    </w:p>
    <w:p w14:paraId="780FA034">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（二）“三公”经费分项支出情况</w:t>
      </w:r>
    </w:p>
    <w:p w14:paraId="196C37D1">
      <w:pPr>
        <w:pStyle w:val="9"/>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本年无出国出境计划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6B2CB66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本年无公务车购置计划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7F5DEAFC">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0.58</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rPr>
        <w:t>支付公务车的燃料费、维修费、保险费</w:t>
      </w:r>
      <w:r>
        <w:rPr>
          <w:rFonts w:hint="eastAsia" w:ascii="Times New Roman" w:hAnsi="Times New Roman" w:eastAsia="方正仿宋_GBK" w:cs="方正仿宋_GBK"/>
          <w:sz w:val="32"/>
          <w:szCs w:val="32"/>
          <w:lang w:eastAsia="zh-CN"/>
        </w:rPr>
        <w:t>等</w:t>
      </w:r>
      <w:r>
        <w:rPr>
          <w:rFonts w:ascii="Times New Roman" w:hAnsi="Times New Roman" w:eastAsia="方正仿宋_GBK"/>
          <w:kern w:val="2"/>
          <w:sz w:val="32"/>
          <w:szCs w:val="32"/>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较年初预算数减少4.42万元，下降88.4%</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费用等。</w:t>
      </w:r>
      <w:r>
        <w:rPr>
          <w:rFonts w:hint="default" w:ascii="Times New Roman" w:hAnsi="Times New Roman" w:eastAsia="方正仿宋_GBK"/>
          <w:sz w:val="32"/>
          <w:szCs w:val="32"/>
          <w:shd w:val="clear" w:color="auto" w:fill="FFFFFF"/>
        </w:rPr>
        <w:t>较上年支出数减少4.42万元，下降88.4%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本年度落实加强对车辆的管理，合理规划出车任务，降低公务车运行维护费用等。</w:t>
      </w:r>
    </w:p>
    <w:p w14:paraId="758B90A7">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本年度未开展公务接待等</w:t>
      </w:r>
      <w:r>
        <w:rPr>
          <w:rFonts w:hint="eastAsia" w:ascii="Times New Roman" w:hAnsi="Times New Roman" w:eastAsia="方正仿宋_GBK" w:cs="方正仿宋_GBK"/>
          <w:color w:val="auto"/>
          <w:sz w:val="32"/>
          <w:szCs w:val="32"/>
          <w:shd w:val="clear" w:color="auto" w:fill="FFFFFF"/>
          <w:lang w:eastAsia="zh-CN"/>
        </w:rPr>
        <w:t>。</w:t>
      </w:r>
    </w:p>
    <w:p w14:paraId="3046BE84">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（三）“三公”经费实物量情况</w:t>
      </w:r>
    </w:p>
    <w:p w14:paraId="6F11E3DB">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0.58</w:t>
      </w:r>
      <w:r>
        <w:rPr>
          <w:rFonts w:ascii="Times New Roman" w:hAnsi="Times New Roman" w:eastAsia="方正仿宋_GBK" w:cs="方正仿宋_GBK"/>
          <w:sz w:val="32"/>
          <w:szCs w:val="32"/>
          <w:shd w:val="clear" w:color="auto" w:fill="FFFFFF"/>
        </w:rPr>
        <w:t>万元。</w:t>
      </w:r>
    </w:p>
    <w:p w14:paraId="79ADC33E">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四、其他需要说明的事项</w:t>
      </w:r>
    </w:p>
    <w:p w14:paraId="2679DBF9">
      <w:pPr>
        <w:pStyle w:val="9"/>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（一）财政拨款会议费、培训费和差旅费情况说明</w:t>
      </w:r>
    </w:p>
    <w:p w14:paraId="04BFCD62">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与2023年度相比，减少1.38万元，下降67.0%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本年度合理规划培训内容和对象，减少培训费用支出等。</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与2023年度相比，减少0.84万元，下降100.0%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减少非必要出差以及严格执行差旅费报销标准等。</w:t>
      </w:r>
    </w:p>
    <w:p w14:paraId="5ADB79B0">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（二）机关运行经费情况说明</w:t>
      </w:r>
    </w:p>
    <w:p w14:paraId="50192569">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按照部门决算列报口径，我单位不在机关运行经费统计范围之内。</w:t>
      </w:r>
    </w:p>
    <w:p w14:paraId="59AAA1C6">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（三）国有资产占用情况说明</w:t>
      </w:r>
    </w:p>
    <w:p w14:paraId="0F02C545">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7D6688DA">
      <w:pPr>
        <w:pStyle w:val="14"/>
        <w:keepNext w:val="0"/>
        <w:keepLines w:val="0"/>
        <w:pageBreakBefore w:val="0"/>
        <w:widowControl w:val="0"/>
        <w:shd w:val="clear"/>
        <w:kinsoku/>
        <w:wordWrap/>
        <w:overflowPunct/>
        <w:topLinePunct w:val="0"/>
        <w:autoSpaceDE w:val="0"/>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（四）政府采购支出情况说明</w:t>
      </w:r>
    </w:p>
    <w:p w14:paraId="248E35F6">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2024年度我单位未发生政府采购事项，无相关经费支出</w:t>
      </w:r>
      <w:r>
        <w:rPr>
          <w:rFonts w:hint="eastAsia" w:ascii="Times New Roman" w:hAnsi="Times New Roman" w:eastAsia="方正仿宋_GBK" w:cs="方正仿宋_GBK"/>
          <w:sz w:val="32"/>
          <w:szCs w:val="32"/>
          <w:shd w:val="clear" w:color="auto" w:fill="FFFFFF"/>
          <w:lang w:eastAsia="zh-CN"/>
        </w:rPr>
        <w:t>。</w:t>
      </w:r>
    </w:p>
    <w:p w14:paraId="3D19309F">
      <w:pPr>
        <w:pStyle w:val="9"/>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Style w:val="13"/>
          <w:rFonts w:hint="eastAsia" w:ascii="Times New Roman" w:hAnsi="Times New Roman" w:eastAsia="方正黑体_GBK" w:cs="方正黑体_GBK"/>
          <w:b w:val="0"/>
          <w:bCs/>
          <w:sz w:val="32"/>
          <w:szCs w:val="32"/>
          <w:shd w:val="clear" w:color="auto" w:fill="FFFFFF"/>
          <w:lang w:val="en-US" w:eastAsia="zh-CN" w:bidi="ar-SA"/>
        </w:rPr>
      </w:pPr>
      <w:r>
        <w:rPr>
          <w:rStyle w:val="13"/>
          <w:rFonts w:hint="eastAsia" w:ascii="Times New Roman" w:hAnsi="Times New Roman" w:eastAsia="方正黑体_GBK" w:cs="方正黑体_GBK"/>
          <w:b w:val="0"/>
          <w:bCs/>
          <w:sz w:val="32"/>
          <w:szCs w:val="32"/>
          <w:shd w:val="clear" w:color="auto" w:fill="FFFFFF"/>
          <w:lang w:val="en-US" w:eastAsia="zh-CN" w:bidi="ar-SA"/>
        </w:rPr>
        <w:t>五、2024年度预算绩效管理情况说明</w:t>
      </w:r>
    </w:p>
    <w:p w14:paraId="4E49CF5C">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（一）单位自评情况（必须公开内容）</w:t>
      </w:r>
    </w:p>
    <w:p w14:paraId="265DCDD3">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根据预算绩效管理要求，我单位对</w:t>
      </w: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9.97</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4EEDC8CB">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Style w:val="13"/>
          <w:rFonts w:ascii="Times New Roman" w:hAnsi="Times New Roman" w:eastAsia="方正楷体_GBK" w:cs="方正楷体_GBK"/>
          <w:b w:val="0"/>
          <w:bCs/>
          <w:sz w:val="32"/>
          <w:szCs w:val="32"/>
          <w:shd w:val="clear" w:color="auto" w:fill="FFFFFF"/>
        </w:rPr>
      </w:pPr>
      <w:r>
        <w:rPr>
          <w:rFonts w:hint="eastAsia" w:ascii="Times New Roman" w:hAnsi="Times New Roman" w:eastAsia="方正仿宋_GBK" w:cs="方正仿宋_GBK"/>
          <w:sz w:val="32"/>
          <w:szCs w:val="32"/>
          <w:lang w:eastAsia="zh-CN"/>
        </w:rPr>
        <w:t>我单位</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年二级项目环保、规自支出绩效自评表（见附件1）。</w:t>
      </w:r>
    </w:p>
    <w:p w14:paraId="02DBE6CC">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（二）单位绩效评价情况</w:t>
      </w:r>
    </w:p>
    <w:p w14:paraId="13E0BA40">
      <w:pPr>
        <w:pStyle w:val="19"/>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ascii="Times New Roman" w:hAnsi="Times New Roman" w:eastAsia="方正仿宋_GBK"/>
          <w:bCs/>
          <w:sz w:val="32"/>
          <w:szCs w:val="32"/>
        </w:rPr>
        <w:t>单位</w:t>
      </w:r>
      <w:r>
        <w:rPr>
          <w:rFonts w:hint="default" w:ascii="Times New Roman" w:hAnsi="Times New Roman" w:eastAsia="方正仿宋_GBK"/>
          <w:bCs/>
          <w:sz w:val="32"/>
          <w:szCs w:val="32"/>
        </w:rPr>
        <w:t>未组织开展绩效评价。</w:t>
      </w:r>
    </w:p>
    <w:p w14:paraId="41226E05">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（三）财政绩效评价情况</w:t>
      </w:r>
    </w:p>
    <w:p w14:paraId="37696B51">
      <w:pPr>
        <w:pStyle w:val="19"/>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单位</w:t>
      </w:r>
      <w:r>
        <w:rPr>
          <w:rFonts w:hint="default" w:ascii="Times New Roman" w:hAnsi="Times New Roman" w:eastAsia="方正仿宋_GBK"/>
          <w:bCs/>
          <w:sz w:val="32"/>
          <w:szCs w:val="32"/>
        </w:rPr>
        <w:t>开展绩效评价。</w:t>
      </w:r>
    </w:p>
    <w:p w14:paraId="23FC3A2F">
      <w:pPr>
        <w:pStyle w:val="15"/>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黑体_GBK" w:cs="方正黑体_GBK"/>
          <w:b w:val="0"/>
          <w:bCs/>
          <w:sz w:val="32"/>
          <w:szCs w:val="32"/>
          <w:shd w:val="clear" w:color="auto" w:fill="FFFFFF"/>
          <w:lang w:val="en-US" w:eastAsia="zh-CN" w:bidi="ar-SA"/>
        </w:rPr>
        <w:t>六、专业名词解释</w:t>
      </w:r>
    </w:p>
    <w:p w14:paraId="6F56EEF8">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601C3E2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03409F4">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60A8622C">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B27CE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A30372">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73D10E2C">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759639C0">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637DDA43">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EA9C53">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0FEF8318">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42CC439">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5D7D7C">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sz w:val="32"/>
          <w:szCs w:val="32"/>
          <w:shd w:val="clear" w:color="auto" w:fill="FFFFFF"/>
          <w:lang w:val="en-US" w:eastAsia="zh-CN"/>
        </w:rPr>
        <w:t>为</w:t>
      </w:r>
      <w:r>
        <w:rPr>
          <w:rFonts w:hint="eastAsia" w:ascii="Times New Roman" w:hAnsi="Times New Roman" w:eastAsia="方正仿宋_GBK" w:cs="方正仿宋_GBK"/>
          <w:sz w:val="32"/>
          <w:szCs w:val="32"/>
          <w:shd w:val="clear" w:color="auto" w:fill="FFFFFF"/>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C155E9">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70D3263B">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5EB1A36A">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Style w:val="13"/>
          <w:rFonts w:hint="eastAsia" w:ascii="Times New Roman" w:hAnsi="Times New Roman" w:eastAsia="方正楷体_GBK" w:cs="方正楷体_GBK"/>
          <w:b w:val="0"/>
          <w:bCs/>
          <w:sz w:val="32"/>
          <w:szCs w:val="32"/>
          <w:shd w:val="clear" w:color="auto" w:fill="FFFFFF"/>
        </w:rPr>
        <w:t>：</w:t>
      </w:r>
      <w:r>
        <w:rPr>
          <w:rFonts w:hint="eastAsia" w:ascii="Times New Roman" w:hAnsi="Times New Roman" w:eastAsia="方正仿宋_GBK" w:cs="方正仿宋_GBK"/>
          <w:sz w:val="32"/>
          <w:szCs w:val="32"/>
          <w:shd w:val="clear" w:color="auto" w:fill="FFFFFF"/>
        </w:rPr>
        <w:t>反映用于对个人和家庭的补助支出。</w:t>
      </w:r>
    </w:p>
    <w:p w14:paraId="5904A76F">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C2F0B7C">
      <w:pPr>
        <w:pStyle w:val="15"/>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方正黑体_GBK"/>
          <w:b w:val="0"/>
          <w:bCs/>
          <w:sz w:val="32"/>
          <w:szCs w:val="32"/>
          <w:shd w:val="clear" w:color="auto" w:fill="FFFFFF"/>
          <w:lang w:val="en-US" w:eastAsia="zh-CN" w:bidi="ar-SA"/>
        </w:rPr>
      </w:pPr>
      <w:r>
        <w:rPr>
          <w:rStyle w:val="13"/>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0AD8F5CF">
      <w:pPr>
        <w:pStyle w:val="15"/>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rPr>
        <w:t>本单位决算公开信息反馈和联系方式：</w:t>
      </w:r>
      <w:r>
        <w:rPr>
          <w:rFonts w:ascii="Times New Roman" w:hAnsi="Times New Roman" w:eastAsia="方正仿宋_GBK" w:cs="方正仿宋_GBK"/>
          <w:sz w:val="32"/>
          <w:szCs w:val="32"/>
        </w:rPr>
        <w:t>023-65060304。</w:t>
      </w:r>
    </w:p>
    <w:p w14:paraId="69D20072">
      <w:pPr>
        <w:pStyle w:val="15"/>
        <w:spacing w:before="0" w:beforeAutospacing="0" w:after="0" w:afterAutospacing="0" w:line="596" w:lineRule="exact"/>
        <w:ind w:firstLine="643" w:firstLineChars="200"/>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9B783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395CACB">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6703F9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322C4B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3A6084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9BD91E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824A72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1FF97E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DBEF32">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33EC59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E6DDAD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CB5593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E22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68E66F">
            <w:pPr>
              <w:spacing w:line="240" w:lineRule="exact"/>
              <w:jc w:val="center"/>
              <w:textAlignment w:val="center"/>
              <w:rPr>
                <w:rFonts w:cs="宋体"/>
                <w:b/>
                <w:color w:val="000000"/>
                <w:sz w:val="20"/>
                <w:szCs w:val="20"/>
              </w:rPr>
            </w:pPr>
            <w:r>
              <w:rPr>
                <w:rFonts w:cs="宋体"/>
                <w:b/>
                <w:color w:val="000000"/>
                <w:sz w:val="20"/>
                <w:szCs w:val="20"/>
              </w:rPr>
              <w:t>支出</w:t>
            </w:r>
          </w:p>
        </w:tc>
      </w:tr>
      <w:tr w14:paraId="60B44F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85DB">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925F">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D596">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B475">
            <w:pPr>
              <w:spacing w:line="240" w:lineRule="exact"/>
              <w:jc w:val="center"/>
              <w:textAlignment w:val="center"/>
              <w:rPr>
                <w:rFonts w:cs="宋体"/>
                <w:b/>
                <w:color w:val="000000"/>
                <w:sz w:val="20"/>
                <w:szCs w:val="20"/>
              </w:rPr>
            </w:pPr>
            <w:r>
              <w:rPr>
                <w:rFonts w:cs="宋体"/>
                <w:b/>
                <w:color w:val="000000"/>
                <w:sz w:val="20"/>
                <w:szCs w:val="20"/>
              </w:rPr>
              <w:t>决算数</w:t>
            </w:r>
          </w:p>
        </w:tc>
      </w:tr>
      <w:tr w14:paraId="793611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4CF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57F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D4D7B">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702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D56E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1774">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995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1ADC">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F5A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874C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032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89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F6B3">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05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D908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5E9F">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02F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B26C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5B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4145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93C7">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CE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0ACD4">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C4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52C3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E71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F3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587C">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59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AFA2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57A3">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F5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792E">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1D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D3DB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C374">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027C6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3235">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223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57.19</w:t>
            </w:r>
            <w:r>
              <w:rPr>
                <w:rFonts w:ascii="Times New Roman" w:hAnsi="Times New Roman"/>
                <w:color w:val="000000"/>
                <w:sz w:val="20"/>
                <w:u w:color="auto"/>
              </w:rPr>
              <w:t xml:space="preserve"> </w:t>
            </w:r>
          </w:p>
        </w:tc>
      </w:tr>
      <w:tr w14:paraId="05B012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C361">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B7E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C28D2">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E5E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r>
      <w:tr w14:paraId="1E5EDC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A68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D820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3321E">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E4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7BC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1BC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101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BA818">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D8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FA70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491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080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FD47">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00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182.04</w:t>
            </w:r>
            <w:r>
              <w:rPr>
                <w:rFonts w:ascii="Times New Roman" w:hAnsi="Times New Roman"/>
                <w:color w:val="000000"/>
                <w:sz w:val="20"/>
                <w:u w:color="auto"/>
              </w:rPr>
              <w:t xml:space="preserve"> </w:t>
            </w:r>
          </w:p>
        </w:tc>
      </w:tr>
      <w:tr w14:paraId="277231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F2F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99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B911">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28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68E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6E8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8B3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84E47">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16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9C01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007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00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DF1F">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7F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834B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3EF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CE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80A8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65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4575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189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BB3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B65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7D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F7564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D98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89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4248">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CA6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2F2A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9EF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04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20C2C">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53D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r>
      <w:tr w14:paraId="6D521D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BFE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E6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2EB6">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DF3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C260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53A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16A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666A">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C27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8A90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481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1D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91C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B1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4C1D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58B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3A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70B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E5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30DA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ADF9">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E9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87FFF">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BFC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258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752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74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838D">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B60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DC1F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4E8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99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35908">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C5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427F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3E5F">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C2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1397">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0E1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250.66</w:t>
            </w:r>
            <w:r>
              <w:rPr>
                <w:rFonts w:ascii="Times New Roman" w:hAnsi="Times New Roman"/>
                <w:color w:val="000000"/>
                <w:sz w:val="20"/>
                <w:u w:color="auto"/>
              </w:rPr>
              <w:t xml:space="preserve"> </w:t>
            </w:r>
          </w:p>
        </w:tc>
      </w:tr>
      <w:tr w14:paraId="34C5F4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C6EE">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8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2B752">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90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6503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884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E71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72526">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8854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1F739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B5F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29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8082C8">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4CC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250.66</w:t>
            </w:r>
            <w:r>
              <w:rPr>
                <w:rFonts w:ascii="Times New Roman" w:hAnsi="Times New Roman"/>
                <w:color w:val="000000"/>
                <w:sz w:val="20"/>
                <w:u w:color="auto"/>
              </w:rPr>
              <w:t xml:space="preserve"> </w:t>
            </w:r>
          </w:p>
        </w:tc>
      </w:tr>
    </w:tbl>
    <w:p w14:paraId="7C0CA672">
      <w:pPr>
        <w:rPr>
          <w:rFonts w:cs="宋体"/>
          <w:sz w:val="21"/>
          <w:szCs w:val="21"/>
        </w:rPr>
      </w:pPr>
    </w:p>
    <w:p w14:paraId="2438BC6C">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A956EE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D8371A4">
            <w:pPr>
              <w:jc w:val="center"/>
              <w:textAlignment w:val="bottom"/>
              <w:rPr>
                <w:rFonts w:cs="宋体"/>
                <w:b/>
                <w:color w:val="000000"/>
                <w:sz w:val="32"/>
                <w:szCs w:val="32"/>
              </w:rPr>
            </w:pPr>
            <w:r>
              <w:rPr>
                <w:rFonts w:cs="宋体"/>
                <w:b/>
                <w:color w:val="000000"/>
                <w:sz w:val="32"/>
                <w:szCs w:val="32"/>
              </w:rPr>
              <w:t>收入决算表</w:t>
            </w:r>
          </w:p>
        </w:tc>
      </w:tr>
      <w:tr w14:paraId="4B71711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5ED6CD2">
            <w:pPr>
              <w:spacing w:line="280" w:lineRule="exact"/>
              <w:rPr>
                <w:rFonts w:cs="宋体"/>
                <w:color w:val="000000"/>
                <w:sz w:val="20"/>
                <w:szCs w:val="20"/>
              </w:rPr>
            </w:pPr>
            <w:r>
              <w:rPr>
                <w:rFonts w:cs="宋体"/>
                <w:sz w:val="20"/>
                <w:szCs w:val="20"/>
              </w:rPr>
              <w:t>单位：</w:t>
            </w:r>
            <w:r>
              <w:rPr>
                <w:sz w:val="20"/>
                <w:u w:color="auto"/>
              </w:rPr>
              <w:t>重庆市沙坪坝区曾家镇农业服务中心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27E58896">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48C218">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96B43A5">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B94742C">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B44D2FE">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2879A51">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0DF97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89415E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59C7ADD">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AE8B308">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1E6EE1C">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CA9F37">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10CB556">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F1963BA">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7D354DC">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31A04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6D7C0D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B931DE">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746E">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4791">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8584">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715AA5">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E07A">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1E5E">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7E1D">
            <w:pPr>
              <w:jc w:val="center"/>
              <w:textAlignment w:val="center"/>
              <w:rPr>
                <w:rFonts w:cs="宋体"/>
                <w:b/>
                <w:color w:val="000000"/>
                <w:sz w:val="20"/>
                <w:szCs w:val="20"/>
              </w:rPr>
            </w:pPr>
            <w:r>
              <w:rPr>
                <w:rFonts w:cs="宋体"/>
                <w:b/>
                <w:color w:val="000000"/>
                <w:sz w:val="20"/>
                <w:szCs w:val="20"/>
              </w:rPr>
              <w:t>其他收入</w:t>
            </w:r>
          </w:p>
        </w:tc>
      </w:tr>
      <w:tr w14:paraId="09C122D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A1A3">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C8462F">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4F09">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045A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2996">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2C72">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2C39">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206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3EAD">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2475">
            <w:pPr>
              <w:jc w:val="center"/>
              <w:rPr>
                <w:rFonts w:cs="宋体"/>
                <w:b/>
                <w:color w:val="000000"/>
                <w:sz w:val="20"/>
                <w:szCs w:val="20"/>
              </w:rPr>
            </w:pPr>
          </w:p>
        </w:tc>
      </w:tr>
      <w:tr w14:paraId="06CB785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9DF6">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7E8B7C">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5FA0">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DA7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85F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1716">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46F8">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386F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9AA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0258">
            <w:pPr>
              <w:jc w:val="center"/>
              <w:rPr>
                <w:rFonts w:cs="宋体"/>
                <w:b/>
                <w:color w:val="000000"/>
                <w:sz w:val="20"/>
                <w:szCs w:val="20"/>
              </w:rPr>
            </w:pPr>
          </w:p>
        </w:tc>
      </w:tr>
      <w:tr w14:paraId="6A46C03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20CD">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7F31BA">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5F3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286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7C72">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B27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52FD">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9A84">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04A4">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61D4">
            <w:pPr>
              <w:jc w:val="center"/>
              <w:rPr>
                <w:rFonts w:cs="宋体"/>
                <w:b/>
                <w:color w:val="000000"/>
                <w:sz w:val="20"/>
                <w:szCs w:val="20"/>
              </w:rPr>
            </w:pPr>
          </w:p>
        </w:tc>
      </w:tr>
      <w:tr w14:paraId="6263048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88D9">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1AA57E">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3A2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B25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B886">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2891">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B9B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8525D">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9499">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DE3B">
            <w:pPr>
              <w:jc w:val="center"/>
              <w:rPr>
                <w:rFonts w:cs="宋体"/>
                <w:b/>
                <w:color w:val="000000"/>
                <w:sz w:val="20"/>
                <w:szCs w:val="20"/>
              </w:rPr>
            </w:pPr>
          </w:p>
        </w:tc>
      </w:tr>
      <w:tr w14:paraId="79C7C9D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9D21">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3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250.66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5E1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250.66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B04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18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C5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18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FD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10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4038B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6E5D">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7A39E">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0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C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2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A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2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C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D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8295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32EF">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F66D4">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F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9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2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8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A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6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8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3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6F6B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3090">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3156">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3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C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1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2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5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C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F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6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98A6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7227">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32D1">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5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D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6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9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6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9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4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CDC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E4CB">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13C9">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F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D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2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E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D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8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3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3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8770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D470">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DA96">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B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3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4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8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B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4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D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E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8529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F801">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BD817">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2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1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D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B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7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9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A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9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AC9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18FE">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A4F3">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D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2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6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0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2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8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F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4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30BC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2BAE">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B61A3">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4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C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8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3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8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5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A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E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B6AD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1AA7">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C56EC">
            <w:pPr>
              <w:textAlignment w:val="center"/>
              <w:rPr>
                <w:rFonts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A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6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E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9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3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D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4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A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EFEB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25BB">
            <w:pP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E680">
            <w:pPr>
              <w:textAlignment w:val="center"/>
              <w:rPr>
                <w:rFonts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6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C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F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2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9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9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4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0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A8F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0C36">
            <w:pPr>
              <w:textAlignment w:val="center"/>
              <w:rPr>
                <w:rFonts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2BBD7">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9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F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E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6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6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B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3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5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358E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C55B">
            <w:pPr>
              <w:textAlignment w:val="center"/>
              <w:rPr>
                <w:rFonts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EC9E">
            <w:pPr>
              <w:textAlignment w:val="center"/>
              <w:rPr>
                <w:rFonts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1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5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A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0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1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7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1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6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1DAB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75A5">
            <w:pPr>
              <w:textAlignment w:val="center"/>
              <w:rPr>
                <w:rFonts w:cs="宋体"/>
                <w:color w:val="000000"/>
                <w:sz w:val="20"/>
                <w:szCs w:val="20"/>
              </w:rPr>
            </w:pPr>
            <w:r>
              <w:rPr>
                <w:rFonts w:cs="宋体"/>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24CF">
            <w:pPr>
              <w:textAlignment w:val="center"/>
              <w:rPr>
                <w:rFonts w:cs="宋体"/>
                <w:color w:val="000000"/>
                <w:sz w:val="20"/>
                <w:szCs w:val="20"/>
              </w:rPr>
            </w:pPr>
            <w:r>
              <w:rPr>
                <w:rFonts w:cs="宋体"/>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8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7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2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A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5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E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7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EC15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7324">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6A8A9">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3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7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B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C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C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A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D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C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5ED54">
        <w:tblPrEx>
          <w:tblCellMar>
            <w:top w:w="0" w:type="dxa"/>
            <w:left w:w="0" w:type="dxa"/>
            <w:bottom w:w="0" w:type="dxa"/>
            <w:right w:w="0" w:type="dxa"/>
          </w:tblCellMar>
        </w:tblPrEx>
        <w:trPr>
          <w:trHeight w:val="28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E88C">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4ECBB">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4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7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E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9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F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0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1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8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2EA55B">
        <w:tblPrEx>
          <w:tblCellMar>
            <w:top w:w="0" w:type="dxa"/>
            <w:left w:w="0" w:type="dxa"/>
            <w:bottom w:w="0" w:type="dxa"/>
            <w:right w:w="0" w:type="dxa"/>
          </w:tblCellMar>
        </w:tblPrEx>
        <w:trPr>
          <w:trHeight w:val="3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DE59">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E4E2">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0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3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8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9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0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7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B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E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77A674">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BBC566E">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50F929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751CA9">
            <w:pPr>
              <w:jc w:val="center"/>
              <w:textAlignment w:val="bottom"/>
              <w:rPr>
                <w:rFonts w:cs="宋体"/>
                <w:b/>
                <w:color w:val="000000"/>
                <w:sz w:val="32"/>
                <w:szCs w:val="32"/>
              </w:rPr>
            </w:pPr>
            <w:r>
              <w:rPr>
                <w:rFonts w:cs="宋体"/>
                <w:b/>
                <w:color w:val="000000"/>
                <w:sz w:val="32"/>
                <w:szCs w:val="32"/>
              </w:rPr>
              <w:t>支出决算表</w:t>
            </w:r>
          </w:p>
        </w:tc>
      </w:tr>
      <w:tr w14:paraId="2837C19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03A6B30">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B527EFF">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9398B15">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74241F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B6338D0">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4E4947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D8661B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C84260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E8DC83">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90A0CAA">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BBEC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19BC0A">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AB6F5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842974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C1244">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6A85">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4A12">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B9E1">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675E">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5973">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F352">
            <w:pPr>
              <w:jc w:val="center"/>
              <w:textAlignment w:val="center"/>
              <w:rPr>
                <w:rFonts w:cs="宋体"/>
                <w:b/>
                <w:color w:val="000000"/>
                <w:sz w:val="20"/>
                <w:szCs w:val="20"/>
              </w:rPr>
            </w:pPr>
            <w:r>
              <w:rPr>
                <w:rFonts w:cs="宋体"/>
                <w:b/>
                <w:color w:val="000000"/>
                <w:sz w:val="20"/>
                <w:szCs w:val="20"/>
              </w:rPr>
              <w:t>对附属单位补助支出</w:t>
            </w:r>
          </w:p>
        </w:tc>
      </w:tr>
      <w:tr w14:paraId="7EA9D7A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D506">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9C53AD">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0060">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95B5">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B19A">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57CCB">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61127">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7DA8">
            <w:pPr>
              <w:jc w:val="center"/>
              <w:rPr>
                <w:rFonts w:cs="宋体"/>
                <w:b/>
                <w:color w:val="000000"/>
                <w:sz w:val="20"/>
                <w:szCs w:val="20"/>
              </w:rPr>
            </w:pPr>
          </w:p>
        </w:tc>
      </w:tr>
      <w:tr w14:paraId="7B7E55D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2E70">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91D8F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CE5D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491F">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B619">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F21D">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616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71FD">
            <w:pPr>
              <w:jc w:val="center"/>
              <w:rPr>
                <w:rFonts w:cs="宋体"/>
                <w:b/>
                <w:color w:val="000000"/>
                <w:sz w:val="20"/>
                <w:szCs w:val="20"/>
              </w:rPr>
            </w:pPr>
          </w:p>
        </w:tc>
      </w:tr>
      <w:tr w14:paraId="35DF4CD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4243">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EAD618">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654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F75C">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372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4DA5">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CA7D">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C4A3">
            <w:pPr>
              <w:jc w:val="center"/>
              <w:rPr>
                <w:rFonts w:cs="宋体"/>
                <w:b/>
                <w:color w:val="000000"/>
                <w:sz w:val="20"/>
                <w:szCs w:val="20"/>
              </w:rPr>
            </w:pPr>
          </w:p>
        </w:tc>
      </w:tr>
      <w:tr w14:paraId="7F05ADB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2A53">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57349C">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D42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BE5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40FB">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D05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9FC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992A">
            <w:pPr>
              <w:jc w:val="center"/>
              <w:rPr>
                <w:rFonts w:cs="宋体"/>
                <w:b/>
                <w:color w:val="000000"/>
                <w:sz w:val="20"/>
                <w:szCs w:val="20"/>
              </w:rPr>
            </w:pPr>
          </w:p>
        </w:tc>
      </w:tr>
      <w:tr w14:paraId="0A8DCD7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6AD0">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4F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250.66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2E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240.69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C30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C5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B2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F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4C50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463">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109F0">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D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6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8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6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F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9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7372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BD55">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9EF9">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B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2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5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2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9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5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196F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B36A">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9D7A9">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0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9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8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2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4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36DF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9CD5">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CCE31">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D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8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7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6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F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3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531E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7586">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7589">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1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9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1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A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6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A4F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ECA0">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546E">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1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B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5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B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8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2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738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DA89">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4701">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E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2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C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9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7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3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0593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198D">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A105">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6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9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1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4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7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E14F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1585">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9CF4">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C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D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4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D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8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4D1A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FD2C">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2F83">
            <w:pPr>
              <w:textAlignment w:val="center"/>
              <w:rPr>
                <w:rFonts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E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F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2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A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F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C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3637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9F52">
            <w:pP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0E09">
            <w:pPr>
              <w:textAlignment w:val="center"/>
              <w:rPr>
                <w:rFonts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4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D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1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9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D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B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889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310B">
            <w:pPr>
              <w:textAlignment w:val="center"/>
              <w:rPr>
                <w:rFonts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34C3">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4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7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7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3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0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9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967B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B4E6">
            <w:pPr>
              <w:textAlignment w:val="center"/>
              <w:rPr>
                <w:rFonts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8C1B">
            <w:pPr>
              <w:textAlignment w:val="center"/>
              <w:rPr>
                <w:rFonts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5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0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3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8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A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1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6087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F517">
            <w:pPr>
              <w:textAlignment w:val="center"/>
              <w:rPr>
                <w:rFonts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DAE03">
            <w:pPr>
              <w:textAlignment w:val="center"/>
              <w:rPr>
                <w:rFonts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2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E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B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6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E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F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F27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9AD9">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46CF8">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B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3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C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E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D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AE95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6D28">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4B666">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F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6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6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1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7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4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131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1EDE">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E7AA">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1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6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0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B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4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0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9A0A76">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0C4DD5">
      <w:pPr>
        <w:rPr>
          <w:rFonts w:cs="宋体"/>
          <w:sz w:val="21"/>
          <w:szCs w:val="21"/>
        </w:rPr>
      </w:pPr>
      <w:r>
        <w:rPr>
          <w:rFonts w:cs="宋体"/>
          <w:sz w:val="21"/>
          <w:szCs w:val="21"/>
        </w:rPr>
        <w:br w:type="page"/>
      </w:r>
    </w:p>
    <w:p w14:paraId="29C0FEE1">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4E9B2F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636A49">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4C223D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0FB87B">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F48ED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48163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71BED0">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22670A">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70DD04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AC4E299">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20E14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7CA2B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D8710F">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EE36DA">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DDA7E0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4EB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A319">
            <w:pPr>
              <w:spacing w:line="200" w:lineRule="exact"/>
              <w:jc w:val="center"/>
              <w:textAlignment w:val="center"/>
              <w:rPr>
                <w:rFonts w:cs="宋体"/>
                <w:b/>
                <w:color w:val="000000"/>
                <w:sz w:val="18"/>
                <w:szCs w:val="18"/>
              </w:rPr>
            </w:pPr>
            <w:r>
              <w:rPr>
                <w:rFonts w:cs="宋体"/>
                <w:b/>
                <w:color w:val="000000"/>
                <w:sz w:val="18"/>
                <w:szCs w:val="18"/>
              </w:rPr>
              <w:t>支     出</w:t>
            </w:r>
          </w:p>
        </w:tc>
      </w:tr>
      <w:tr w14:paraId="0C3A79B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6BB5">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FF7E">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F4B76">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1041">
            <w:pPr>
              <w:spacing w:line="200" w:lineRule="exact"/>
              <w:jc w:val="center"/>
              <w:textAlignment w:val="center"/>
              <w:rPr>
                <w:rFonts w:cs="宋体"/>
                <w:b/>
                <w:color w:val="000000"/>
                <w:sz w:val="18"/>
                <w:szCs w:val="18"/>
              </w:rPr>
            </w:pPr>
            <w:r>
              <w:rPr>
                <w:rFonts w:cs="宋体"/>
                <w:b/>
                <w:color w:val="000000"/>
                <w:sz w:val="18"/>
                <w:szCs w:val="18"/>
              </w:rPr>
              <w:t>决算数</w:t>
            </w:r>
          </w:p>
        </w:tc>
      </w:tr>
      <w:tr w14:paraId="52B8285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13D5">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F868">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7C9A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23C8">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3795">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47F2">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9871">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193BC2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D1ED">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64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7E98">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B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B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7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B47B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7709">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0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621D">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2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7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9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3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DD6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03F6">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2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6507">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0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E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B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B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243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2AF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F7B34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948B">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E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7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B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4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A6FF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6AE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7B74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1707">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A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7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A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5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C539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017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BE63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2C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5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B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8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7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2A4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935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5B2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07DD">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B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0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F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5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291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410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83A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C04F">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B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9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3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1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BB8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6D2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F503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9D99">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24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B7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1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E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5C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B76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DD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1488">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5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A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4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0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5FC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BDA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12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786">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4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E5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A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1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DE4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061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DE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3B3B">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BD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36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9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7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7C6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69B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CB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77F2">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D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9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2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1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DDC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72C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FF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D46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7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9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3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7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30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6FC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EF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CE2C">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5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1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6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9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52F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6C2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3A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C367">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9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9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3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4E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F6F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ACE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96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76CB">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5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B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6E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2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ABE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AF0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6F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689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7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0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A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F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FC9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4EC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F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1E99">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59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7E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7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0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99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740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86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993F">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8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B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A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065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DE3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0D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FA2A">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7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3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B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C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F0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F2E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3E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FD5C">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9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C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D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D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F54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EBC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7A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E04A">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5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B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9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7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607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6D10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A8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DBC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E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5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9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1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F1F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16C2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0E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E14E">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5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D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B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88F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8207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9D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AB01">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8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B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C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0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D7C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4DF4">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18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1E2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2D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04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3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1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BCC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CE4A">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7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1B42">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0C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D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9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5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BCB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024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B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961BD">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8C0E1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CFAD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6B02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CC947">
            <w:pPr>
              <w:spacing w:line="200" w:lineRule="exact"/>
              <w:rPr>
                <w:rFonts w:hint="default" w:ascii="Times New Roman" w:hAnsi="Times New Roman"/>
                <w:color w:val="000000"/>
                <w:sz w:val="18"/>
                <w:szCs w:val="18"/>
              </w:rPr>
            </w:pPr>
          </w:p>
        </w:tc>
      </w:tr>
      <w:tr w14:paraId="6A009A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BCEE">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2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78F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EC2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D88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156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EA4C">
            <w:pPr>
              <w:spacing w:line="200" w:lineRule="exact"/>
              <w:jc w:val="right"/>
              <w:rPr>
                <w:rFonts w:hint="default" w:ascii="Times New Roman" w:hAnsi="Times New Roman"/>
                <w:color w:val="000000"/>
                <w:sz w:val="18"/>
                <w:szCs w:val="18"/>
              </w:rPr>
            </w:pPr>
          </w:p>
        </w:tc>
      </w:tr>
      <w:tr w14:paraId="44AE04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526F">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2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5927">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660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BFF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97C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6E75">
            <w:pPr>
              <w:spacing w:line="200" w:lineRule="exact"/>
              <w:jc w:val="right"/>
              <w:rPr>
                <w:rFonts w:hint="default" w:ascii="Times New Roman" w:hAnsi="Times New Roman"/>
                <w:color w:val="000000"/>
                <w:sz w:val="18"/>
                <w:szCs w:val="18"/>
              </w:rPr>
            </w:pPr>
          </w:p>
        </w:tc>
      </w:tr>
      <w:tr w14:paraId="185D87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B8C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50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20C9">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1D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6C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7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E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54B88EF">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08E9D3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C3652B4">
            <w:pPr>
              <w:jc w:val="center"/>
              <w:textAlignment w:val="bottom"/>
              <w:rPr>
                <w:rFonts w:cs="宋体"/>
                <w:b/>
                <w:color w:val="000000"/>
                <w:sz w:val="32"/>
                <w:szCs w:val="32"/>
              </w:rPr>
            </w:pPr>
            <w:r>
              <w:rPr>
                <w:rFonts w:cs="宋体"/>
                <w:b/>
                <w:color w:val="000000"/>
                <w:sz w:val="32"/>
                <w:szCs w:val="32"/>
              </w:rPr>
              <w:t>一般公共预算财政拨款支出决算表</w:t>
            </w:r>
          </w:p>
        </w:tc>
      </w:tr>
      <w:tr w14:paraId="2F209C3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4AB37D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81FC476">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DB954D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05CD88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19BF346">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7EC9C24">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A833D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6AF979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DFCE">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48DFB5">
            <w:pPr>
              <w:jc w:val="center"/>
              <w:textAlignment w:val="center"/>
              <w:rPr>
                <w:rFonts w:cs="宋体"/>
                <w:b/>
                <w:color w:val="000000"/>
                <w:sz w:val="20"/>
                <w:szCs w:val="20"/>
              </w:rPr>
            </w:pPr>
            <w:r>
              <w:rPr>
                <w:rFonts w:cs="宋体"/>
                <w:b/>
                <w:color w:val="000000"/>
                <w:sz w:val="20"/>
                <w:szCs w:val="20"/>
              </w:rPr>
              <w:t>本年支出</w:t>
            </w:r>
          </w:p>
        </w:tc>
      </w:tr>
      <w:tr w14:paraId="64A2F9F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257C">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A0AAB">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65761">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F37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DBDCA">
            <w:pPr>
              <w:jc w:val="center"/>
              <w:textAlignment w:val="center"/>
              <w:rPr>
                <w:rFonts w:cs="宋体"/>
                <w:b/>
                <w:color w:val="000000"/>
                <w:sz w:val="20"/>
                <w:szCs w:val="20"/>
              </w:rPr>
            </w:pPr>
            <w:r>
              <w:rPr>
                <w:rFonts w:cs="宋体"/>
                <w:b/>
                <w:color w:val="000000"/>
                <w:sz w:val="20"/>
                <w:szCs w:val="20"/>
              </w:rPr>
              <w:t>项目支出</w:t>
            </w:r>
          </w:p>
        </w:tc>
      </w:tr>
      <w:tr w14:paraId="10E662E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95CB">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4E389">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B178A">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4467">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4784C">
            <w:pPr>
              <w:jc w:val="center"/>
              <w:rPr>
                <w:rFonts w:cs="宋体"/>
                <w:b/>
                <w:color w:val="000000"/>
                <w:sz w:val="20"/>
                <w:szCs w:val="20"/>
              </w:rPr>
            </w:pPr>
          </w:p>
        </w:tc>
      </w:tr>
      <w:tr w14:paraId="40FBFA1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1C34">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28656">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0A431">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A97D6">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8BB0F">
            <w:pPr>
              <w:jc w:val="center"/>
              <w:rPr>
                <w:rFonts w:cs="宋体"/>
                <w:b/>
                <w:color w:val="000000"/>
                <w:sz w:val="20"/>
                <w:szCs w:val="20"/>
              </w:rPr>
            </w:pPr>
          </w:p>
        </w:tc>
      </w:tr>
      <w:tr w14:paraId="35F0DBC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3985">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C74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E5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A41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9.97</w:t>
            </w:r>
            <w:r>
              <w:rPr>
                <w:rFonts w:ascii="Times New Roman" w:hAnsi="Times New Roman"/>
                <w:b/>
                <w:color w:val="000000"/>
                <w:sz w:val="20"/>
                <w:u w:color="auto"/>
              </w:rPr>
              <w:t xml:space="preserve"> </w:t>
            </w:r>
          </w:p>
        </w:tc>
      </w:tr>
      <w:tr w14:paraId="07280C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EA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7B802">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4C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B5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6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6E8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7019">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B2A6">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0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B0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22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DCA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C316">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1F8F">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01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7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5D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29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7F3E">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2CA1">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9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A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0B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B8D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5143">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D64D">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36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B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F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DEF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DDA2">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8DD6">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57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5F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0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82E1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FE87">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6C06E">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2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7B1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84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A9C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89BD">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15DE">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45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3A7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A93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5D1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78A1">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1E6F">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33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67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37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CB1E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E2A7">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DB2C">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2E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CC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A6A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14:paraId="78C043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960">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0FF7">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1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015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AC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F9ED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E31D">
            <w:pPr>
              <w:textAlignment w:val="center"/>
              <w:rPr>
                <w:rFonts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D771">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6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83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94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091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F8DB">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5C94">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E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3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2C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14:paraId="1119B7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B0DE">
            <w:pPr>
              <w:textAlignment w:val="center"/>
              <w:rPr>
                <w:rFonts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96C79">
            <w:pPr>
              <w:textAlignment w:val="center"/>
              <w:rPr>
                <w:rFonts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84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6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A7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w:t>
            </w:r>
            <w:r>
              <w:rPr>
                <w:rFonts w:ascii="Times New Roman" w:hAnsi="Times New Roman"/>
                <w:color w:val="000000"/>
                <w:sz w:val="20"/>
                <w:u w:color="auto"/>
              </w:rPr>
              <w:t xml:space="preserve"> </w:t>
            </w:r>
          </w:p>
        </w:tc>
      </w:tr>
      <w:tr w14:paraId="713F46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FCA3">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13FC">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FB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AA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39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F09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6A7A">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A00C8">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E0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D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AA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1C65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DC71">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6D5E">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6C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8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C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86EB7F">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6EABE4">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8BB3FF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CFABEFA">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7F07647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920EAC2">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10E9CB7">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CEB81C0">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F0D6FB">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EDA009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9F6E94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0660A92">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B53E5E">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55C3A93">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0848F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9F0817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13993F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A318">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FDD5C2">
            <w:pPr>
              <w:spacing w:line="192" w:lineRule="exact"/>
              <w:jc w:val="center"/>
              <w:textAlignment w:val="center"/>
              <w:rPr>
                <w:rFonts w:cs="宋体"/>
                <w:b/>
                <w:color w:val="000000"/>
                <w:sz w:val="18"/>
                <w:szCs w:val="18"/>
              </w:rPr>
            </w:pPr>
            <w:r>
              <w:rPr>
                <w:rFonts w:cs="宋体"/>
                <w:b/>
                <w:color w:val="000000"/>
                <w:sz w:val="18"/>
                <w:szCs w:val="18"/>
              </w:rPr>
              <w:t>公用经费</w:t>
            </w:r>
          </w:p>
        </w:tc>
      </w:tr>
      <w:tr w14:paraId="7DEF6C2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A06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55C3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54A12">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67EC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2497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198D7">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885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84AB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FA896">
            <w:pPr>
              <w:spacing w:line="192" w:lineRule="exact"/>
              <w:jc w:val="center"/>
              <w:textAlignment w:val="center"/>
              <w:rPr>
                <w:rFonts w:cs="宋体"/>
                <w:b/>
                <w:color w:val="000000"/>
                <w:sz w:val="18"/>
                <w:szCs w:val="18"/>
              </w:rPr>
            </w:pPr>
            <w:r>
              <w:rPr>
                <w:rFonts w:cs="宋体"/>
                <w:b/>
                <w:color w:val="000000"/>
                <w:sz w:val="18"/>
                <w:szCs w:val="18"/>
              </w:rPr>
              <w:t>金额</w:t>
            </w:r>
          </w:p>
        </w:tc>
      </w:tr>
      <w:tr w14:paraId="0A6D318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C225">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8FB91">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0AE2E">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F1D1">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4ECE8">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DAEBF">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2AD6">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6CA33">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B4BF4">
            <w:pPr>
              <w:spacing w:line="192" w:lineRule="exact"/>
              <w:jc w:val="center"/>
              <w:rPr>
                <w:rFonts w:cs="宋体"/>
                <w:b/>
                <w:color w:val="000000"/>
                <w:sz w:val="18"/>
                <w:szCs w:val="18"/>
              </w:rPr>
            </w:pPr>
          </w:p>
        </w:tc>
      </w:tr>
      <w:tr w14:paraId="4BF1B9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E116">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9CB9">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9E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C97A">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ED33">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36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A33F">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AF5D">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CA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8AF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7EAA">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72E6">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7C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A758">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F47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FF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255C">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3D11">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11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8B9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F108">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2F2E">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98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F6D1">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49BF">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9A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D75">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37E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2C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76B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34D4">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6F22">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10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5E87">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C208">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86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3C2D">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9BD4">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BB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2F9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2B7C">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243B">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2A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2CF7">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641B">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22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3218">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4D02">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D9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78C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6D34">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A7EA">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90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E72A">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429E">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D1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F11B">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901B">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C6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07D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6EA6">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C7A5">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55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9C98">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E09D">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3A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5DF4">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A04C">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54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039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4BB8">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8FEC">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33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45E6">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0A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72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A569">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F505">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B0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87E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B209">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7258">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99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6E2E">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0B8D">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B4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5A87">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0B73">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7E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1B7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A258">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0EA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87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8872">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78EA">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E9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0A0B">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6E23">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23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4D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F1BB">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78B5">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A7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35F7">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2C39">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98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A35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54F2">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10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3AC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D7E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EA77">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77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AA31">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54CE">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2A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F671">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2E5F">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A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8E6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15DA">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637F">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A9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F40C">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F947">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71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CC4A">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A973">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00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4C6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707A">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3DAD">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C4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DEB2">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6382">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E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48AB">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AE53">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E8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73A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6109">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152C">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74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AA8B">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F9E8">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BF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9FCB">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503C">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20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2BC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10BA7">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0D95">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48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8895">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F871">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8A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5C3D">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6EC5">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6B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5A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C66A">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00D6">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67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2743">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88F9">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06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4FBF">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F833">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53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DA6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CE27">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A0CB">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7D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967F">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1C0D">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66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9F94">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1B0F">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A3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E5B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1F8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11C3">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46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C9E6">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7EA5">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68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BD4A">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A7AE">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CD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77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F95A">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1883">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8C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9B57">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3756">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F2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3FE5">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BC32">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B6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C93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3D73">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3578">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11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5559">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7798">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F3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311F">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D757">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4E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4BD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7095">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EC84">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5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D08A">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DBBE">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73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A009">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74A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5F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A77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D309">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1F16">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E8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7427">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CEBF">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C1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E4B2">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55CC">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9B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0F5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C4D8">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1F12">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9B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306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D23A">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DB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2745">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A2ED">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3D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F06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B6B6">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F4C7">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C2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2298">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3389">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C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7971">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08D2">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6C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EDE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146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05A1">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F8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0709">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B58">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3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B6D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2F73">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6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AA9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6E3D">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C394">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79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739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D5F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3B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97D1">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6636">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FC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DAD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ACD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8CE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6F974">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69F2">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0BA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13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91D1F">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D856">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2F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55D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3591">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F3E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8FC7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582D">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EA54">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68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689A">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3515">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CA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592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BF50">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C9B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DE60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A85C">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ABA9">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BB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C601">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5D37">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27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094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1CF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ED8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9BFF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F69A">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CE2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28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567D">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09FB">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669C">
            <w:pPr>
              <w:spacing w:line="192" w:lineRule="exact"/>
              <w:jc w:val="right"/>
              <w:rPr>
                <w:rFonts w:hint="default" w:ascii="Times New Roman" w:hAnsi="Times New Roman"/>
                <w:color w:val="000000"/>
                <w:sz w:val="18"/>
                <w:szCs w:val="18"/>
              </w:rPr>
            </w:pPr>
          </w:p>
        </w:tc>
      </w:tr>
      <w:tr w14:paraId="5DB303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733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6477">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93E1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33DF">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9B77">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CA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154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9289">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9A27">
            <w:pPr>
              <w:spacing w:line="192" w:lineRule="exact"/>
              <w:jc w:val="right"/>
              <w:rPr>
                <w:rFonts w:hint="default" w:ascii="Times New Roman" w:hAnsi="Times New Roman"/>
                <w:color w:val="000000"/>
                <w:sz w:val="18"/>
                <w:szCs w:val="18"/>
              </w:rPr>
            </w:pPr>
          </w:p>
        </w:tc>
      </w:tr>
      <w:tr w14:paraId="3839A47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97B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B72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7562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F679">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A922">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10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4C8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1192">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1DF2">
            <w:pPr>
              <w:spacing w:line="192" w:lineRule="exact"/>
              <w:jc w:val="right"/>
              <w:rPr>
                <w:rFonts w:hint="default" w:ascii="Times New Roman" w:hAnsi="Times New Roman"/>
                <w:color w:val="000000"/>
                <w:sz w:val="18"/>
                <w:szCs w:val="18"/>
              </w:rPr>
            </w:pPr>
          </w:p>
        </w:tc>
      </w:tr>
      <w:tr w14:paraId="50D7088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B16F">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F416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215.15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D308">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281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25.53</w:t>
            </w:r>
            <w:r>
              <w:rPr>
                <w:rFonts w:ascii="Times New Roman" w:hAnsi="Times New Roman"/>
                <w:color w:val="000000"/>
                <w:sz w:val="18"/>
                <w:u w:color="auto"/>
              </w:rPr>
              <w:t xml:space="preserve"> </w:t>
            </w:r>
          </w:p>
        </w:tc>
      </w:tr>
    </w:tbl>
    <w:p w14:paraId="75C8E70A">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B10FEC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08FA89">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92C704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E5C1363">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BDE2E3">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DD5D3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D4496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FA4A0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BC9924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AEEC39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C9452A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49C97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B726F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589B76">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8F3FF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A06F6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66EAF2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BB6C">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0E9A21">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F985">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34612F">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BC29">
            <w:pPr>
              <w:jc w:val="center"/>
              <w:textAlignment w:val="center"/>
              <w:rPr>
                <w:rFonts w:cs="宋体"/>
                <w:b/>
                <w:color w:val="000000"/>
                <w:sz w:val="20"/>
                <w:szCs w:val="20"/>
              </w:rPr>
            </w:pPr>
            <w:r>
              <w:rPr>
                <w:rFonts w:cs="宋体"/>
                <w:b/>
                <w:color w:val="000000"/>
                <w:sz w:val="20"/>
                <w:szCs w:val="20"/>
              </w:rPr>
              <w:t>年末结转和结余</w:t>
            </w:r>
          </w:p>
        </w:tc>
      </w:tr>
      <w:tr w14:paraId="486280F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E90E">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DD5A">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7C61B9">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D436">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FF766">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4C6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88B31">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AD02C">
            <w:pPr>
              <w:jc w:val="center"/>
              <w:rPr>
                <w:rFonts w:cs="宋体"/>
                <w:b/>
                <w:color w:val="000000"/>
                <w:sz w:val="20"/>
                <w:szCs w:val="20"/>
              </w:rPr>
            </w:pPr>
          </w:p>
        </w:tc>
      </w:tr>
      <w:tr w14:paraId="2B091F5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EF9B">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EF7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2104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CAD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03A8E">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48E02">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F33C5">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F029">
            <w:pPr>
              <w:jc w:val="center"/>
              <w:rPr>
                <w:rFonts w:cs="宋体"/>
                <w:b/>
                <w:color w:val="000000"/>
                <w:sz w:val="20"/>
                <w:szCs w:val="20"/>
              </w:rPr>
            </w:pPr>
          </w:p>
        </w:tc>
      </w:tr>
      <w:tr w14:paraId="7A02484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E95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954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6B7181">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37C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2633E">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838A4">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02DF">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8B71">
            <w:pPr>
              <w:jc w:val="center"/>
              <w:rPr>
                <w:rFonts w:cs="宋体"/>
                <w:b/>
                <w:color w:val="000000"/>
                <w:sz w:val="20"/>
                <w:szCs w:val="20"/>
              </w:rPr>
            </w:pPr>
          </w:p>
        </w:tc>
      </w:tr>
      <w:tr w14:paraId="147748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DC3C">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11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6F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30C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5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C61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DE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28852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4587">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8DC0">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A1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B21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7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AF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F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3C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D373518">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234A89A">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43EC97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3A725B">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0BD5A93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BCD5867">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4C0F2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62D262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549CBC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C11620">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FF364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D58BEE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3F1AD5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CE7795">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ECFE02">
            <w:pPr>
              <w:jc w:val="center"/>
              <w:textAlignment w:val="bottom"/>
              <w:rPr>
                <w:rFonts w:cs="宋体"/>
                <w:b/>
                <w:color w:val="000000"/>
                <w:sz w:val="20"/>
                <w:szCs w:val="20"/>
              </w:rPr>
            </w:pPr>
            <w:r>
              <w:rPr>
                <w:rFonts w:cs="宋体"/>
                <w:b/>
                <w:color w:val="000000"/>
                <w:sz w:val="20"/>
                <w:szCs w:val="20"/>
              </w:rPr>
              <w:t>本年支出</w:t>
            </w:r>
          </w:p>
        </w:tc>
      </w:tr>
      <w:tr w14:paraId="00927D7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538C">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8A1BA">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6906">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40F57">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093CB">
            <w:pPr>
              <w:jc w:val="center"/>
              <w:textAlignment w:val="center"/>
              <w:rPr>
                <w:rFonts w:cs="宋体"/>
                <w:b/>
                <w:color w:val="000000"/>
                <w:sz w:val="20"/>
                <w:szCs w:val="20"/>
              </w:rPr>
            </w:pPr>
            <w:r>
              <w:rPr>
                <w:rFonts w:cs="宋体"/>
                <w:b/>
                <w:color w:val="000000"/>
                <w:sz w:val="20"/>
                <w:szCs w:val="20"/>
              </w:rPr>
              <w:t>项目支出</w:t>
            </w:r>
          </w:p>
        </w:tc>
      </w:tr>
      <w:tr w14:paraId="0D77867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6C9E">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C267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0E5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60E2B">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9D1DC">
            <w:pPr>
              <w:jc w:val="center"/>
              <w:rPr>
                <w:rFonts w:cs="宋体"/>
                <w:b/>
                <w:color w:val="000000"/>
                <w:sz w:val="20"/>
                <w:szCs w:val="20"/>
              </w:rPr>
            </w:pPr>
          </w:p>
        </w:tc>
      </w:tr>
      <w:tr w14:paraId="0743822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0226">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91FD4">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D9DE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8F0B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4DD13">
            <w:pPr>
              <w:jc w:val="center"/>
              <w:rPr>
                <w:rFonts w:cs="宋体"/>
                <w:b/>
                <w:color w:val="000000"/>
                <w:sz w:val="20"/>
                <w:szCs w:val="20"/>
              </w:rPr>
            </w:pPr>
          </w:p>
        </w:tc>
      </w:tr>
      <w:tr w14:paraId="6C52269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C269">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6D8F3">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02CE">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CA7D8">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AD55E">
            <w:pPr>
              <w:jc w:val="center"/>
              <w:rPr>
                <w:rFonts w:cs="宋体"/>
                <w:b/>
                <w:color w:val="000000"/>
                <w:sz w:val="20"/>
                <w:szCs w:val="20"/>
              </w:rPr>
            </w:pPr>
          </w:p>
        </w:tc>
      </w:tr>
      <w:tr w14:paraId="04BB9B1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66D8">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158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F5F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47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3CE86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E9D9">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85AF">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8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D51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A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ED3DCD">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62645DE">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CC73FD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4740520">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6B1961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EBDFD1A">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4172268B">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768A3AEE">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459B15EA">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1C67E073">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0C8859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0BC47AA">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F68BDC4">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DB43F7F">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F0EF26">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D767B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D68B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E587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93C76">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2994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24A53">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21FEC3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5A505">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871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D82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72E97">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957C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61C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B2B47">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CF36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53E0C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233A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8CA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79A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447F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CAA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D6D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7D84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6C3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0FF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6E24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F313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9082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2857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AE8D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E490D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DA64C">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F3F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42D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1B196">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5512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351A7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EC70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0F1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60BF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E15F2">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6F8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806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E654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ACD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1E0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5968A">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C23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09F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E4947">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94D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C49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7D19A">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B0C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7DE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EFAB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4EF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83D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AA3C1">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41B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B7965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390DB">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A88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3EA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EA744">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C36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F28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A559B">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176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2F5F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FFBA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EA5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0A2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ECFE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422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E8E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FEBF7">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E3C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09D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B745A">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6D7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3432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9876B">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F03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448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6EAC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4EB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79D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4EDDA">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83F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3FE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330BF">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F74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3E6E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61DAD">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9EA8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F82F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2B9B1">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6C3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D7F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99E02">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844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DE8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7035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142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58D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68808">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760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39DE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D7DE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310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9FB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C0626">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58B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556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8DAB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8EB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225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2D38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66C5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44F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50EE6">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059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AFD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9BD2D">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B12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0BE2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AFBC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688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D26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EE1D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7D2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8170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4578F">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FC9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E53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D5A1C">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EE446">
            <w:pPr>
              <w:spacing w:line="280" w:lineRule="exact"/>
              <w:jc w:val="right"/>
              <w:rPr>
                <w:rFonts w:cs="宋体"/>
                <w:color w:val="000000"/>
                <w:kern w:val="2"/>
                <w:sz w:val="16"/>
                <w:szCs w:val="16"/>
              </w:rPr>
            </w:pPr>
          </w:p>
        </w:tc>
      </w:tr>
      <w:tr w14:paraId="4EE12D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BEF3F">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77D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DC04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C2282">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2104C">
            <w:pPr>
              <w:spacing w:line="280" w:lineRule="exact"/>
              <w:jc w:val="right"/>
              <w:rPr>
                <w:rFonts w:cs="宋体"/>
                <w:color w:val="000000"/>
                <w:kern w:val="2"/>
                <w:sz w:val="16"/>
                <w:szCs w:val="16"/>
              </w:rPr>
            </w:pPr>
          </w:p>
        </w:tc>
      </w:tr>
      <w:tr w14:paraId="64C5FC5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355CA">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59B0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550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EF175">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75F6F">
            <w:pPr>
              <w:spacing w:line="280" w:lineRule="exact"/>
              <w:jc w:val="right"/>
              <w:rPr>
                <w:rFonts w:cs="宋体"/>
                <w:color w:val="000000"/>
                <w:sz w:val="16"/>
                <w:szCs w:val="16"/>
              </w:rPr>
            </w:pPr>
          </w:p>
        </w:tc>
      </w:tr>
    </w:tbl>
    <w:p w14:paraId="47B1D82F">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D6FC">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46C54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B46C54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7685">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9BFB0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9BFB0D">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77704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77704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3C15">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816CC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57681E"/>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D87F8D"/>
    <w:rsid w:val="11ED0F98"/>
    <w:rsid w:val="11F03528"/>
    <w:rsid w:val="12C7072D"/>
    <w:rsid w:val="12C921C4"/>
    <w:rsid w:val="13871C70"/>
    <w:rsid w:val="13A71CB4"/>
    <w:rsid w:val="13AF1D43"/>
    <w:rsid w:val="13CE1647"/>
    <w:rsid w:val="13FD55AB"/>
    <w:rsid w:val="14200702"/>
    <w:rsid w:val="1429086F"/>
    <w:rsid w:val="14370EA1"/>
    <w:rsid w:val="14D94D53"/>
    <w:rsid w:val="15DD0268"/>
    <w:rsid w:val="15E16F83"/>
    <w:rsid w:val="163A6CEE"/>
    <w:rsid w:val="16976668"/>
    <w:rsid w:val="173708E3"/>
    <w:rsid w:val="17C374FC"/>
    <w:rsid w:val="182E4AB6"/>
    <w:rsid w:val="189079DC"/>
    <w:rsid w:val="189B0D0B"/>
    <w:rsid w:val="189B3AC2"/>
    <w:rsid w:val="18B43F7C"/>
    <w:rsid w:val="191C433B"/>
    <w:rsid w:val="194A1770"/>
    <w:rsid w:val="19B906A4"/>
    <w:rsid w:val="19D1502D"/>
    <w:rsid w:val="1AC91401"/>
    <w:rsid w:val="1B395F40"/>
    <w:rsid w:val="1B6F15B6"/>
    <w:rsid w:val="1BAA2EDC"/>
    <w:rsid w:val="1C737230"/>
    <w:rsid w:val="1CA55E64"/>
    <w:rsid w:val="1D014A01"/>
    <w:rsid w:val="1D022362"/>
    <w:rsid w:val="1D1B04B0"/>
    <w:rsid w:val="1DA52501"/>
    <w:rsid w:val="1DBD6767"/>
    <w:rsid w:val="1DC52125"/>
    <w:rsid w:val="1DD26311"/>
    <w:rsid w:val="1E374ACB"/>
    <w:rsid w:val="1E3C1017"/>
    <w:rsid w:val="1ECF0A66"/>
    <w:rsid w:val="1EF67CA4"/>
    <w:rsid w:val="1F020D3A"/>
    <w:rsid w:val="1F2C5189"/>
    <w:rsid w:val="1F4B0B02"/>
    <w:rsid w:val="1F525822"/>
    <w:rsid w:val="1FBB35CD"/>
    <w:rsid w:val="1FCD26AF"/>
    <w:rsid w:val="20642787"/>
    <w:rsid w:val="21556F04"/>
    <w:rsid w:val="22403BD3"/>
    <w:rsid w:val="22AD3177"/>
    <w:rsid w:val="235417B6"/>
    <w:rsid w:val="24774655"/>
    <w:rsid w:val="24B92327"/>
    <w:rsid w:val="24C14514"/>
    <w:rsid w:val="251B66B7"/>
    <w:rsid w:val="2533755C"/>
    <w:rsid w:val="25791755"/>
    <w:rsid w:val="26396DF4"/>
    <w:rsid w:val="27167136"/>
    <w:rsid w:val="271B442C"/>
    <w:rsid w:val="27B23302"/>
    <w:rsid w:val="29310A5F"/>
    <w:rsid w:val="29C37A35"/>
    <w:rsid w:val="2A076083"/>
    <w:rsid w:val="2A73162E"/>
    <w:rsid w:val="2AD407F7"/>
    <w:rsid w:val="2B167953"/>
    <w:rsid w:val="2B200583"/>
    <w:rsid w:val="2B2729C0"/>
    <w:rsid w:val="2B8209DE"/>
    <w:rsid w:val="2B821C91"/>
    <w:rsid w:val="2BF81A22"/>
    <w:rsid w:val="2C2E3173"/>
    <w:rsid w:val="2C636760"/>
    <w:rsid w:val="2C6762A3"/>
    <w:rsid w:val="2DBD5517"/>
    <w:rsid w:val="2FCA4B37"/>
    <w:rsid w:val="2FE029D7"/>
    <w:rsid w:val="2FF06E00"/>
    <w:rsid w:val="300A1801"/>
    <w:rsid w:val="30586FEC"/>
    <w:rsid w:val="315F0B22"/>
    <w:rsid w:val="31A15828"/>
    <w:rsid w:val="31C1669D"/>
    <w:rsid w:val="31D84415"/>
    <w:rsid w:val="32285F6F"/>
    <w:rsid w:val="32770556"/>
    <w:rsid w:val="329C0913"/>
    <w:rsid w:val="32AA0460"/>
    <w:rsid w:val="32AC6BA0"/>
    <w:rsid w:val="32DC56D7"/>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24942"/>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30251B"/>
    <w:rsid w:val="4B7951CB"/>
    <w:rsid w:val="4B7C315C"/>
    <w:rsid w:val="4D1F53CA"/>
    <w:rsid w:val="4DAC4ACA"/>
    <w:rsid w:val="4DBE01D2"/>
    <w:rsid w:val="4E883E75"/>
    <w:rsid w:val="4EFD467F"/>
    <w:rsid w:val="4F0C6BA3"/>
    <w:rsid w:val="4F186D58"/>
    <w:rsid w:val="4F4C0F2D"/>
    <w:rsid w:val="4FFE7F08"/>
    <w:rsid w:val="504B6EAA"/>
    <w:rsid w:val="50F06B6E"/>
    <w:rsid w:val="51064DCD"/>
    <w:rsid w:val="51D21804"/>
    <w:rsid w:val="52234D33"/>
    <w:rsid w:val="522F6E0C"/>
    <w:rsid w:val="52463BA1"/>
    <w:rsid w:val="528F5E6A"/>
    <w:rsid w:val="52F163D4"/>
    <w:rsid w:val="531A2DB4"/>
    <w:rsid w:val="53C0244D"/>
    <w:rsid w:val="53DD4D4E"/>
    <w:rsid w:val="53E578CE"/>
    <w:rsid w:val="541330F0"/>
    <w:rsid w:val="54272666"/>
    <w:rsid w:val="543B029D"/>
    <w:rsid w:val="54861779"/>
    <w:rsid w:val="54E911F2"/>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8B7DA8"/>
    <w:rsid w:val="5BAF6C35"/>
    <w:rsid w:val="5BDD74C5"/>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3A12A3"/>
    <w:rsid w:val="656152C6"/>
    <w:rsid w:val="656E5DB3"/>
    <w:rsid w:val="6587477F"/>
    <w:rsid w:val="658C3A08"/>
    <w:rsid w:val="65C031CA"/>
    <w:rsid w:val="65CE6852"/>
    <w:rsid w:val="66267C04"/>
    <w:rsid w:val="663F505A"/>
    <w:rsid w:val="666C2D2F"/>
    <w:rsid w:val="66AF5D7C"/>
    <w:rsid w:val="66EE5541"/>
    <w:rsid w:val="67924660"/>
    <w:rsid w:val="67C70455"/>
    <w:rsid w:val="67DF3BC2"/>
    <w:rsid w:val="68407834"/>
    <w:rsid w:val="6883293E"/>
    <w:rsid w:val="688412AD"/>
    <w:rsid w:val="68D26C4D"/>
    <w:rsid w:val="68EB1B71"/>
    <w:rsid w:val="696C0310"/>
    <w:rsid w:val="6A6C7940"/>
    <w:rsid w:val="6A9F1565"/>
    <w:rsid w:val="6AAD2300"/>
    <w:rsid w:val="6B474EF5"/>
    <w:rsid w:val="6B4D1FC7"/>
    <w:rsid w:val="6BC938E5"/>
    <w:rsid w:val="6BFADAAF"/>
    <w:rsid w:val="6C0A5AC5"/>
    <w:rsid w:val="6C4E4249"/>
    <w:rsid w:val="6C560CAE"/>
    <w:rsid w:val="6C576495"/>
    <w:rsid w:val="6D903FF5"/>
    <w:rsid w:val="6DA955B8"/>
    <w:rsid w:val="6DE346AB"/>
    <w:rsid w:val="6DE5391A"/>
    <w:rsid w:val="6EFD1324"/>
    <w:rsid w:val="6F5A53AC"/>
    <w:rsid w:val="6F7FCB18"/>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16389E"/>
    <w:rsid w:val="746F6492"/>
    <w:rsid w:val="750837F0"/>
    <w:rsid w:val="754758CF"/>
    <w:rsid w:val="75595ECD"/>
    <w:rsid w:val="75B5CC3A"/>
    <w:rsid w:val="764F62AB"/>
    <w:rsid w:val="765C45EC"/>
    <w:rsid w:val="768A7619"/>
    <w:rsid w:val="76974B9D"/>
    <w:rsid w:val="76BD23AB"/>
    <w:rsid w:val="772E1EBA"/>
    <w:rsid w:val="77F6687E"/>
    <w:rsid w:val="781926BC"/>
    <w:rsid w:val="78941235"/>
    <w:rsid w:val="796D60A4"/>
    <w:rsid w:val="79A031D5"/>
    <w:rsid w:val="79B47FDF"/>
    <w:rsid w:val="79E569A9"/>
    <w:rsid w:val="7A1525F7"/>
    <w:rsid w:val="7B420052"/>
    <w:rsid w:val="7BD06A28"/>
    <w:rsid w:val="7C3A7C0B"/>
    <w:rsid w:val="7C5248E4"/>
    <w:rsid w:val="7C566698"/>
    <w:rsid w:val="7C5866A3"/>
    <w:rsid w:val="7D7406BB"/>
    <w:rsid w:val="7DE94331"/>
    <w:rsid w:val="7F446A19"/>
    <w:rsid w:val="7F6F6558"/>
    <w:rsid w:val="7F7452B9"/>
    <w:rsid w:val="F7DFEC8F"/>
    <w:rsid w:val="FDBF6411"/>
    <w:rsid w:val="FF7E6A45"/>
    <w:rsid w:val="FFDB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8088</Words>
  <Characters>10383</Characters>
  <Lines>192</Lines>
  <Paragraphs>54</Paragraphs>
  <TotalTime>0</TotalTime>
  <ScaleCrop>false</ScaleCrop>
  <LinksUpToDate>false</LinksUpToDate>
  <CharactersWithSpaces>11417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黄小小L</cp:lastModifiedBy>
  <dcterms:modified xsi:type="dcterms:W3CDTF">2025-10-22T01:38:12Z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eyJoZGlkIjoiZjQ1MTYzNWIxNTI4MjQ0YWI5OGY5MTFmNGI1MzBlNzIiLCJ1c2VySWQiOiIyNDA4Nzc1NzcifQ==</vt:lpwstr>
  </property>
</Properties>
</file>