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97B42">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石板镇便民服务中心(退役军人服务站)</w:t>
      </w:r>
    </w:p>
    <w:p w14:paraId="69B8F7F5">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24E279FB">
      <w:pPr>
        <w:spacing w:line="600" w:lineRule="exact"/>
        <w:ind w:firstLine="880" w:firstLineChars="200"/>
        <w:jc w:val="center"/>
        <w:rPr>
          <w:rFonts w:ascii="华文中宋" w:hAnsi="华文中宋" w:eastAsia="华文中宋" w:cs="华文中宋"/>
          <w:sz w:val="44"/>
          <w:szCs w:val="44"/>
        </w:rPr>
      </w:pPr>
    </w:p>
    <w:p w14:paraId="4F10E796">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一、单位基本情况</w:t>
      </w:r>
    </w:p>
    <w:p w14:paraId="178FBE95">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5C243F74">
      <w:pPr>
        <w:spacing w:line="600" w:lineRule="exact"/>
        <w:ind w:firstLine="640" w:firstLineChars="200"/>
        <w:rPr>
          <w:rFonts w:ascii="方正仿宋_GBK" w:hAnsi="方正仿宋_GBK" w:cs="方正仿宋_GBK"/>
          <w:szCs w:val="32"/>
        </w:rPr>
      </w:pPr>
      <w:r>
        <w:rPr>
          <w:rFonts w:hint="eastAsia" w:ascii="方正仿宋_GBK" w:hAnsi="方正仿宋_GBK" w:cs="方正仿宋_GBK"/>
          <w:snapToGrid w:val="0"/>
          <w:color w:val="000000"/>
          <w:szCs w:val="32"/>
        </w:rPr>
        <w:t>石板镇便民服务中心（退役军人服务站）职能职责主要为</w:t>
      </w:r>
      <w:r>
        <w:rPr>
          <w:rFonts w:hint="eastAsia" w:ascii="方正仿宋_GBK" w:hAnsi="方正仿宋_GBK" w:cs="方正仿宋_GBK"/>
          <w:color w:val="000000"/>
          <w:szCs w:val="32"/>
        </w:rPr>
        <w:t>负责社会救助、就</w:t>
      </w:r>
      <w:bookmarkStart w:id="0" w:name="_GoBack"/>
      <w:bookmarkEnd w:id="0"/>
      <w:r>
        <w:rPr>
          <w:rFonts w:hint="eastAsia" w:ascii="方正仿宋_GBK" w:hAnsi="方正仿宋_GBK" w:cs="方正仿宋_GBK"/>
          <w:color w:val="000000"/>
          <w:szCs w:val="32"/>
        </w:rPr>
        <w:t>业创业、劳动争议调解、社保、医保、退役军人等服务性工作，推进镇、村（居）服务窗口建设。</w:t>
      </w:r>
    </w:p>
    <w:p w14:paraId="337E2935">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（二）单位构成</w:t>
      </w:r>
    </w:p>
    <w:p w14:paraId="47B22E7C">
      <w:pPr>
        <w:spacing w:line="600" w:lineRule="exact"/>
        <w:ind w:firstLine="640" w:firstLineChars="200"/>
        <w:rPr>
          <w:rFonts w:ascii="方正仿宋_GBK" w:hAnsi="仿宋_GB2312" w:cs="仿宋_GB2312"/>
        </w:rPr>
      </w:pPr>
      <w:r>
        <w:rPr>
          <w:rFonts w:hint="eastAsia" w:ascii="方正仿宋_GBK" w:hAnsi="仿宋_GB2312" w:cs="仿宋_GB2312"/>
        </w:rPr>
        <w:t>本单位未设置内部机构。</w:t>
      </w:r>
    </w:p>
    <w:p w14:paraId="31129164">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二、单位收支总体情况</w:t>
      </w:r>
    </w:p>
    <w:p w14:paraId="1FC1E7DB">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（一）收入预算：</w:t>
      </w:r>
      <w:r>
        <w:rPr>
          <w:rFonts w:hint="eastAsia" w:ascii="方正仿宋_GBK" w:hAnsi="仿宋_GB2312" w:cs="仿宋_GB2312"/>
          <w:color w:val="000000" w:themeColor="text1"/>
        </w:rPr>
        <w:t>2026年年初预算数100.53万元，其中：一般公共预算拨款100.53万元，政府性基金预算拨款0万元，国有资本经营预算收入0万元，事业收入0万元，事业单位经营收入0万元，其他收入0万元。收入较2025年减少127.24万元，主要是一般公共预算经费拨款减少127.24万元。</w:t>
      </w:r>
    </w:p>
    <w:p w14:paraId="462D7AD0">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（二）支出预算：</w:t>
      </w:r>
      <w:r>
        <w:rPr>
          <w:rFonts w:hint="eastAsia" w:ascii="方正仿宋_GBK" w:hAnsi="仿宋_GB2312" w:cs="仿宋_GB2312"/>
          <w:color w:val="000000" w:themeColor="text1"/>
        </w:rPr>
        <w:t>2026年年初预算数100.53万元，其中：一般公共服务支出预算0万元，教育支出预算0万元，社会保障和就业支出预算93.76万元，卫生健康支出预算3.59万元，城乡社区支出预算0万元，住房保障支出预算3.19万元。支出预算较2025年减少127.24万元，主要是基本支出预算减少20.47万元，项目支出预算减少106.77万元。</w:t>
      </w:r>
    </w:p>
    <w:p w14:paraId="49382385">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33F88ED9">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2026年一般公共预算财政拨款收入100.53万元，一般公共预算财政拨款支出100.53万元，比2025年减少127.24万元。其中：基本支出78.73万元，比2025年减少20.47万元，</w:t>
      </w:r>
      <w:r>
        <w:rPr>
          <w:rFonts w:hint="eastAsia" w:ascii="方正仿宋_GBK" w:hAnsi="仿宋_GB2312" w:cs="仿宋_GB2312"/>
          <w:color w:val="000000"/>
        </w:rPr>
        <w:t>主要原因是缩减日常公用经费开支、优化支出结构，主要用于保</w:t>
      </w:r>
      <w:r>
        <w:rPr>
          <w:rFonts w:ascii="方正仿宋_GBK" w:hAnsi="仿宋_GB2312" w:cs="仿宋_GB2312"/>
          <w:color w:val="000000"/>
        </w:rPr>
        <w:t>障</w:t>
      </w:r>
      <w:r>
        <w:rPr>
          <w:rFonts w:hint="eastAsia" w:ascii="方正仿宋_GBK" w:hAnsi="仿宋_GB2312" w:cs="仿宋_GB2312"/>
          <w:color w:val="000000"/>
        </w:rPr>
        <w:t>部门</w:t>
      </w:r>
      <w:r>
        <w:rPr>
          <w:rFonts w:hint="eastAsia" w:ascii="方正仿宋_GBK" w:hAnsi="仿宋_GB2312" w:cs="仿宋_GB2312"/>
          <w:color w:val="000000" w:themeColor="text1"/>
        </w:rPr>
        <w:t>在职人员工资福利及社会保险缴费，</w:t>
      </w:r>
      <w:r>
        <w:rPr>
          <w:rFonts w:ascii="方正仿宋_GBK" w:hAnsi="仿宋_GB2312" w:cs="仿宋_GB2312"/>
          <w:color w:val="000000" w:themeColor="text1"/>
        </w:rPr>
        <w:t>退休人员</w:t>
      </w:r>
      <w:r>
        <w:rPr>
          <w:rFonts w:hint="eastAsia" w:ascii="方正仿宋_GBK" w:hAnsi="仿宋_GB2312" w:cs="仿宋_GB2312"/>
          <w:color w:val="000000" w:themeColor="text1"/>
        </w:rPr>
        <w:t>补助等，保障部门正常运转的各项商品服务支出；项目支出21.8万元，比2025年减少106.77万元，主要原因是该事业单位中有部分预算项目设置到了政府（本级）中，主要用于民政支出等重点工作。</w:t>
      </w:r>
    </w:p>
    <w:p w14:paraId="0DA03167">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石板镇便民服务中心（退役军人服务站）2026年无使用政府性基金预算拨款安排的支出。</w:t>
      </w:r>
    </w:p>
    <w:p w14:paraId="09BECD5E">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0F9B4FB6">
      <w:pPr>
        <w:spacing w:line="60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0万元，比2025年增加0万元。其中：因公出国（境）费用0万元，比2025年增加0万元；公务接待费0万元，比2025年增加0万元；公务用车运行维护费0万元，比2025年增加0万元；公务用车购置费0万元，比2025年增加0万元。</w:t>
      </w:r>
    </w:p>
    <w:p w14:paraId="670F0D1D">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0F6D8389">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bCs/>
          <w:color w:val="000000" w:themeColor="text1"/>
        </w:rPr>
        <w:t>（一）机关运行经费。</w:t>
      </w:r>
      <w:r>
        <w:rPr>
          <w:rFonts w:hint="eastAsia" w:ascii="方正仿宋_GBK" w:hAnsi="仿宋_GB2312" w:cs="仿宋_GB2312"/>
          <w:color w:val="000000" w:themeColor="text1"/>
        </w:rPr>
        <w:t>我单位不在机关运行经费统计范围之内。</w:t>
      </w:r>
    </w:p>
    <w:p w14:paraId="6901804D">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（二）政府采购情况。本单位无政府采购预算。</w:t>
      </w:r>
    </w:p>
    <w:p w14:paraId="4C9CE2B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w:t>
      </w:r>
      <w:r>
        <w:rPr>
          <w:rFonts w:hint="eastAsia" w:ascii="方正仿宋_GBK" w:hAnsi="仿宋_GB2312" w:cs="仿宋_GB2312"/>
        </w:rPr>
        <w:t>2026年项目支出均实行了绩效目标管理，涉及一般公共预算当年财政拨款21.8万元。</w:t>
      </w:r>
    </w:p>
    <w:p w14:paraId="6655286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2025年12月，所属各预算单位无车辆。2026年一般公共预算未安排购置车辆。</w:t>
      </w:r>
    </w:p>
    <w:p w14:paraId="7212F818">
      <w:pPr>
        <w:spacing w:line="60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（五）委托业务费情况。2026年委托业务费涉及财拨资金9.3万元，主要用于政府采购等支出。</w:t>
      </w:r>
    </w:p>
    <w:p w14:paraId="7DC9A3E0">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六</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专业性名词解释</w:t>
      </w:r>
    </w:p>
    <w:p w14:paraId="009961B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1178256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7E2DDDB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1D51985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627B822E">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6A9A4BF">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0F14253">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7EEF22D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99A41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EF05B8">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2E82EC4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31F08B">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A2D5F5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499AE80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0496ACBE">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5D97B75A">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399C0E7">
      <w:pPr>
        <w:ind w:firstLine="640" w:firstLineChars="200"/>
        <w:rPr>
          <w:rFonts w:ascii="方正仿宋_GBK" w:hAnsi="仿宋_GB2312" w:cs="仿宋_GB2312"/>
          <w:color w:val="000000" w:themeColor="text1"/>
        </w:rPr>
      </w:pPr>
    </w:p>
    <w:p w14:paraId="120686C2">
      <w:pPr>
        <w:rPr>
          <w:rFonts w:ascii="方正仿宋_GBK"/>
          <w:szCs w:val="32"/>
        </w:rPr>
      </w:pPr>
      <w:r>
        <w:rPr>
          <w:rFonts w:hint="eastAsia" w:ascii="方正仿宋_GBK"/>
          <w:szCs w:val="32"/>
        </w:rPr>
        <w:t>部门预算公开联系人：戚茂娇，联系方式：023-65765797</w:t>
      </w:r>
    </w:p>
    <w:p w14:paraId="6A69583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3C5A8-A20A-4F37-9E1D-251417DF32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56CD19-8891-4AE1-8A3B-F00362FD29DC}"/>
  </w:font>
  <w:font w:name="方正仿宋_GBK">
    <w:panose1 w:val="03000509000000000000"/>
    <w:charset w:val="86"/>
    <w:family w:val="script"/>
    <w:pitch w:val="default"/>
    <w:sig w:usb0="00000001" w:usb1="080E0000" w:usb2="00000000" w:usb3="00000000" w:csb0="00040000" w:csb1="00000000"/>
    <w:embedRegular r:id="rId3" w:fontKey="{B307282F-D752-49AE-ADAE-BD5337C654B2}"/>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F793E001-8D5A-4DEE-BC53-C3288AAC1501}"/>
  </w:font>
  <w:font w:name="华文中宋">
    <w:altName w:val="宋体"/>
    <w:panose1 w:val="02010600040101010101"/>
    <w:charset w:val="86"/>
    <w:family w:val="auto"/>
    <w:pitch w:val="default"/>
    <w:sig w:usb0="00000000" w:usb1="00000000" w:usb2="00000010" w:usb3="00000000" w:csb0="0004009F" w:csb1="00000000"/>
    <w:embedRegular r:id="rId5" w:fontKey="{34987E72-A503-47D5-BF64-49D83824B6BA}"/>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66F5DB0B-52FC-4280-82EA-FE08C5C2F14A}"/>
  </w:font>
  <w:font w:name="仿宋_GB2312">
    <w:altName w:val="仿宋"/>
    <w:panose1 w:val="00000000000000000000"/>
    <w:charset w:val="86"/>
    <w:family w:val="modern"/>
    <w:pitch w:val="default"/>
    <w:sig w:usb0="00000000" w:usb1="00000000" w:usb2="00000010" w:usb3="00000000" w:csb0="00040000" w:csb1="00000000"/>
    <w:embedRegular r:id="rId7" w:fontKey="{C29148A0-7DEB-4C9B-8BD8-479B4E5CCA81}"/>
  </w:font>
  <w:font w:name="方正楷体_GBK">
    <w:panose1 w:val="02000000000000000000"/>
    <w:charset w:val="86"/>
    <w:family w:val="script"/>
    <w:pitch w:val="default"/>
    <w:sig w:usb0="800002BF" w:usb1="38CF7CFA" w:usb2="00000016" w:usb3="00000000" w:csb0="00040000" w:csb1="00000000"/>
    <w:embedRegular r:id="rId8" w:fontKey="{AFE93F58-7203-4224-92E3-956564368B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7F93">
    <w:pPr>
      <w:pStyle w:val="4"/>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DA76924">
                <w:pPr>
                  <w:pStyle w:val="4"/>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- 6 -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00074827"/>
    <w:rsid w:val="00312421"/>
    <w:rsid w:val="005B6F56"/>
    <w:rsid w:val="00702FA3"/>
    <w:rsid w:val="00920C91"/>
    <w:rsid w:val="009D2257"/>
    <w:rsid w:val="009D47E5"/>
    <w:rsid w:val="00AA7B8E"/>
    <w:rsid w:val="00AB370D"/>
    <w:rsid w:val="00D57044"/>
    <w:rsid w:val="00F471A2"/>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B59AB0B"/>
    <w:rsid w:val="2D0578E5"/>
    <w:rsid w:val="344E7C6B"/>
    <w:rsid w:val="39750D3E"/>
    <w:rsid w:val="3C4D0049"/>
    <w:rsid w:val="3EF7E9DA"/>
    <w:rsid w:val="3F3B3618"/>
    <w:rsid w:val="42860DA7"/>
    <w:rsid w:val="47B6C02C"/>
    <w:rsid w:val="49F5BFCF"/>
    <w:rsid w:val="4F7D6304"/>
    <w:rsid w:val="4FEB42FD"/>
    <w:rsid w:val="500A7D66"/>
    <w:rsid w:val="586B6A4E"/>
    <w:rsid w:val="5DDB789E"/>
    <w:rsid w:val="6BED7AFE"/>
    <w:rsid w:val="6BFF778B"/>
    <w:rsid w:val="6E886FF6"/>
    <w:rsid w:val="6FDF875A"/>
    <w:rsid w:val="7B5E5DE9"/>
    <w:rsid w:val="7BED906F"/>
    <w:rsid w:val="7ED65CFB"/>
    <w:rsid w:val="A77F2D4D"/>
    <w:rsid w:val="B57DF9DC"/>
    <w:rsid w:val="BDE8B9D1"/>
    <w:rsid w:val="BEB5B71D"/>
    <w:rsid w:val="DFE70B47"/>
    <w:rsid w:val="E7F2FF03"/>
    <w:rsid w:val="EE67EE9B"/>
    <w:rsid w:val="EEFF8F3D"/>
    <w:rsid w:val="EFC745CF"/>
    <w:rsid w:val="F27E6FFF"/>
    <w:rsid w:val="FBDF1D0E"/>
    <w:rsid w:val="FFE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u w:val="single"/>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2519</Words>
  <Characters>2676</Characters>
  <Lines>19</Lines>
  <Paragraphs>5</Paragraphs>
  <TotalTime>0</TotalTime>
  <ScaleCrop>false</ScaleCrop>
  <LinksUpToDate>false</LinksUpToDate>
  <CharactersWithSpaces>2676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2022-04-23T23:33:00Z</dcterms:created>
  <dc:creator>Administrator</dc:creator>
  <cp:lastModifiedBy>silence</cp:lastModifiedBy>
  <cp:lastPrinted>2023-04-22T19:42:00Z</cp:lastPrinted>
  <dcterms:modified xsi:type="dcterms:W3CDTF">2026-07-09T07:01:17Z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