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BDA72">
      <w:pPr>
        <w:spacing w:line="600" w:lineRule="exact"/>
        <w:jc w:val="center"/>
        <w:rPr>
          <w:rFonts w:hint="eastAsia" w:ascii="方正小标宋_GBK" w:hAnsi="华文中宋" w:eastAsia="方正小标宋_GBK" w:cs="华文中宋"/>
          <w:sz w:val="44"/>
          <w:szCs w:val="44"/>
        </w:rPr>
      </w:pPr>
      <w:r>
        <w:rPr>
          <w:rFonts w:hint="eastAsia" w:ascii="方正小标宋_GBK" w:hAnsi="华文中宋" w:eastAsia="方正小标宋_GBK" w:cs="华文中宋"/>
          <w:sz w:val="44"/>
          <w:szCs w:val="44"/>
        </w:rPr>
        <w:t>石板镇综合行政执法大队</w:t>
      </w:r>
    </w:p>
    <w:p w14:paraId="5367181B">
      <w:pPr>
        <w:spacing w:line="600" w:lineRule="exact"/>
        <w:jc w:val="center"/>
        <w:rPr>
          <w:rFonts w:ascii="方正小标宋_GBK" w:hAnsi="华文中宋" w:eastAsia="方正小标宋_GBK" w:cs="华文中宋"/>
          <w:sz w:val="44"/>
          <w:szCs w:val="44"/>
        </w:rPr>
      </w:pPr>
      <w:r>
        <w:rPr>
          <w:rFonts w:hint="eastAsia" w:ascii="方正小标宋_GBK" w:hAnsi="华文中宋" w:eastAsia="方正小标宋_GBK" w:cs="华文中宋"/>
          <w:sz w:val="44"/>
          <w:szCs w:val="44"/>
        </w:rPr>
        <w:t>2026年预算公开情况说明</w:t>
      </w:r>
    </w:p>
    <w:p w14:paraId="3F56C6C3">
      <w:pPr>
        <w:spacing w:line="600" w:lineRule="exact"/>
        <w:ind w:firstLine="880" w:firstLineChars="200"/>
        <w:jc w:val="center"/>
        <w:rPr>
          <w:rFonts w:ascii="华文中宋" w:hAnsi="华文中宋" w:eastAsia="华文中宋" w:cs="华文中宋"/>
          <w:sz w:val="44"/>
          <w:szCs w:val="44"/>
        </w:rPr>
      </w:pPr>
    </w:p>
    <w:p w14:paraId="0D1ABD0C">
      <w:pPr>
        <w:spacing w:line="580" w:lineRule="exact"/>
        <w:ind w:firstLine="640" w:firstLineChars="200"/>
        <w:rPr>
          <w:rFonts w:ascii="方正黑体_GBK" w:hAnsi="黑体" w:eastAsia="方正黑体_GBK" w:cs="仿宋_GB2312"/>
        </w:rPr>
      </w:pPr>
      <w:r>
        <w:rPr>
          <w:rFonts w:hint="eastAsia" w:ascii="方正黑体_GBK" w:hAnsi="黑体" w:eastAsia="方正黑体_GBK" w:cs="仿宋_GB2312"/>
        </w:rPr>
        <w:t>一、单位基本情况</w:t>
      </w:r>
    </w:p>
    <w:p w14:paraId="134B8179">
      <w:pPr>
        <w:spacing w:line="580" w:lineRule="exact"/>
        <w:ind w:firstLine="640" w:firstLineChars="200"/>
        <w:rPr>
          <w:rFonts w:ascii="方正楷体_GBK" w:hAnsi="仿宋_GB2312" w:eastAsia="方正楷体_GBK" w:cs="仿宋_GB2312"/>
          <w:color w:val="000000"/>
          <w:szCs w:val="22"/>
        </w:rPr>
      </w:pPr>
      <w:r>
        <w:rPr>
          <w:rFonts w:hint="eastAsia" w:ascii="方正楷体_GBK" w:hAnsi="仿宋_GB2312" w:eastAsia="方正楷体_GBK" w:cs="仿宋_GB2312"/>
          <w:color w:val="000000"/>
          <w:szCs w:val="22"/>
        </w:rPr>
        <w:t>（一）职能职责</w:t>
      </w:r>
    </w:p>
    <w:p w14:paraId="0B386A0A">
      <w:pPr>
        <w:widowControl/>
        <w:shd w:val="clear" w:color="auto" w:fill="FFFFFF"/>
        <w:spacing w:line="580" w:lineRule="exact"/>
        <w:ind w:firstLine="640" w:firstLineChars="200"/>
        <w:jc w:val="left"/>
        <w:rPr>
          <w:rFonts w:ascii="仿宋_GB2312" w:hAnsi="仿宋" w:eastAsia="仿宋_GB2312"/>
          <w:color w:val="000000"/>
          <w:szCs w:val="32"/>
        </w:rPr>
      </w:pPr>
      <w:r>
        <w:rPr>
          <w:rFonts w:hint="eastAsia" w:ascii="方正仿宋_GBK" w:hAnsi="方正仿宋_GBK" w:cs="方正仿宋_GBK"/>
          <w:snapToGrid w:val="0"/>
          <w:color w:val="000000"/>
          <w:szCs w:val="32"/>
        </w:rPr>
        <w:t>石板镇综合行政执法大队职能职责主要为</w:t>
      </w:r>
      <w:r>
        <w:rPr>
          <w:rFonts w:hint="eastAsia" w:ascii="方正仿宋_GBK" w:hAnsi="方正仿宋_GBK" w:cs="方正仿宋_GBK"/>
          <w:color w:val="000000"/>
          <w:spacing w:val="-6"/>
          <w:szCs w:val="32"/>
        </w:rPr>
        <w:t>负责集中行使本镇法定行政执法事项、赋权行政执法事项和委托行政执法事项的行政执法权。负责开展所涉执法领域的普法宣传、协同联动执法等工作。</w:t>
      </w:r>
      <w:bookmarkStart w:id="0" w:name="_GoBack"/>
      <w:bookmarkEnd w:id="0"/>
    </w:p>
    <w:p w14:paraId="2139B315">
      <w:pPr>
        <w:spacing w:line="580" w:lineRule="exact"/>
        <w:ind w:firstLine="640" w:firstLineChars="200"/>
        <w:rPr>
          <w:rFonts w:ascii="方正楷体_GBK" w:hAnsi="仿宋_GB2312" w:eastAsia="方正楷体_GBK" w:cs="仿宋_GB2312"/>
          <w:color w:val="000000"/>
          <w:szCs w:val="22"/>
        </w:rPr>
      </w:pPr>
      <w:r>
        <w:rPr>
          <w:rFonts w:hint="eastAsia" w:ascii="方正楷体_GBK" w:hAnsi="仿宋_GB2312" w:eastAsia="方正楷体_GBK" w:cs="仿宋_GB2312"/>
          <w:color w:val="000000"/>
          <w:szCs w:val="22"/>
        </w:rPr>
        <w:t>（二）单位构成</w:t>
      </w:r>
    </w:p>
    <w:p w14:paraId="62E4E3B1">
      <w:pPr>
        <w:spacing w:line="580" w:lineRule="exact"/>
        <w:ind w:firstLine="640" w:firstLineChars="200"/>
        <w:rPr>
          <w:rFonts w:ascii="方正仿宋_GBK" w:hAnsi="仿宋_GB2312" w:cs="仿宋_GB2312"/>
        </w:rPr>
      </w:pPr>
      <w:r>
        <w:rPr>
          <w:rFonts w:hint="eastAsia" w:ascii="方正仿宋_GBK" w:hAnsi="仿宋_GB2312" w:cs="仿宋_GB2312"/>
        </w:rPr>
        <w:t>本单位未设置内部机构。</w:t>
      </w:r>
    </w:p>
    <w:p w14:paraId="308D75F4">
      <w:pPr>
        <w:spacing w:line="580" w:lineRule="exact"/>
        <w:ind w:firstLine="640" w:firstLineChars="200"/>
        <w:rPr>
          <w:rFonts w:ascii="方正黑体_GBK" w:hAnsi="黑体" w:eastAsia="方正黑体_GBK" w:cs="仿宋_GB2312"/>
          <w:color w:val="000000" w:themeColor="text1"/>
        </w:rPr>
      </w:pPr>
      <w:r>
        <w:rPr>
          <w:rFonts w:hint="eastAsia" w:ascii="方正黑体_GBK" w:hAnsi="黑体" w:eastAsia="方正黑体_GBK" w:cs="仿宋_GB2312"/>
          <w:color w:val="000000" w:themeColor="text1"/>
        </w:rPr>
        <w:t>二、单位收支总体情况</w:t>
      </w:r>
    </w:p>
    <w:p w14:paraId="092F0B78">
      <w:pPr>
        <w:spacing w:line="580" w:lineRule="exact"/>
        <w:ind w:firstLine="640" w:firstLineChars="200"/>
        <w:rPr>
          <w:rFonts w:ascii="方正仿宋_GBK" w:hAnsi="仿宋_GB2312" w:cs="仿宋_GB2312"/>
          <w:color w:val="000000" w:themeColor="text1"/>
        </w:rPr>
      </w:pPr>
      <w:r>
        <w:rPr>
          <w:rFonts w:hint="eastAsia" w:ascii="方正仿宋_GBK" w:hAnsi="仿宋_GB2312" w:cs="仿宋_GB2312"/>
          <w:color w:val="000000" w:themeColor="text1"/>
        </w:rPr>
        <w:t>（一）收入预算：2026年年初预算数268.34万元，其中：一般公共预算拨款268.34万元，政府性基金预算拨款0万元，国有资本经营预算收入0万元，事业收入0万元，事业单位经营收入0万元，其他收入0万元。收入较2025年减少47.04万元，主要是一般公共预算经费拨款减少47.04万元。</w:t>
      </w:r>
    </w:p>
    <w:p w14:paraId="691A0183">
      <w:pPr>
        <w:spacing w:line="580" w:lineRule="exact"/>
        <w:ind w:firstLine="640" w:firstLineChars="200"/>
        <w:rPr>
          <w:rFonts w:ascii="方正仿宋_GBK" w:hAnsi="仿宋_GB2312" w:cs="仿宋_GB2312"/>
          <w:color w:val="000000" w:themeColor="text1"/>
        </w:rPr>
      </w:pPr>
      <w:r>
        <w:rPr>
          <w:rFonts w:hint="eastAsia" w:ascii="方正仿宋_GBK" w:hAnsi="仿宋_GB2312" w:cs="仿宋_GB2312"/>
          <w:color w:val="000000" w:themeColor="text1"/>
        </w:rPr>
        <w:t>（二）支出预算：2026年年初预算数268.34万元，其中：一般公共服务支出预算77.31万元，教育支出预算0万元，社会保障和就业支出预算12.72万元，卫生健康支出预算5.07万元，城乡社区支出预算168.65万元，住房保障支出预算4.6万元。支出预算较2025年减少47.04万元，主要是基本支出预算增加2.95万元，项目支出预算减少49.99万元。</w:t>
      </w:r>
    </w:p>
    <w:p w14:paraId="0512687E">
      <w:pPr>
        <w:spacing w:line="580" w:lineRule="exact"/>
        <w:ind w:firstLine="640" w:firstLineChars="200"/>
        <w:rPr>
          <w:rFonts w:ascii="方正仿宋_GBK" w:hAnsi="黑体" w:cs="仿宋_GB2312"/>
          <w:color w:val="000000" w:themeColor="text1"/>
        </w:rPr>
      </w:pPr>
      <w:r>
        <w:rPr>
          <w:rFonts w:hint="eastAsia" w:ascii="方正黑体_GBK" w:hAnsi="黑体" w:eastAsia="方正黑体_GBK" w:cs="仿宋_GB2312"/>
          <w:color w:val="000000" w:themeColor="text1"/>
        </w:rPr>
        <w:t>三</w:t>
      </w:r>
      <w:r>
        <w:rPr>
          <w:rFonts w:ascii="方正黑体_GBK" w:hAnsi="黑体" w:eastAsia="方正黑体_GBK" w:cs="仿宋_GB2312"/>
          <w:color w:val="000000" w:themeColor="text1"/>
        </w:rPr>
        <w:t>、</w:t>
      </w:r>
      <w:r>
        <w:rPr>
          <w:rFonts w:hint="eastAsia" w:ascii="方正黑体_GBK" w:hAnsi="黑体" w:eastAsia="方正黑体_GBK" w:cs="仿宋_GB2312"/>
          <w:color w:val="000000" w:themeColor="text1"/>
        </w:rPr>
        <w:t>单位预算情况说明</w:t>
      </w:r>
    </w:p>
    <w:p w14:paraId="1729F9F7">
      <w:pPr>
        <w:spacing w:line="580" w:lineRule="exact"/>
        <w:ind w:firstLine="640" w:firstLineChars="200"/>
        <w:rPr>
          <w:rFonts w:ascii="方正仿宋_GBK" w:hAnsi="仿宋_GB2312" w:cs="仿宋_GB2312"/>
          <w:color w:val="000000" w:themeColor="text1"/>
        </w:rPr>
      </w:pPr>
      <w:r>
        <w:rPr>
          <w:rFonts w:hint="eastAsia" w:ascii="方正仿宋_GBK" w:hAnsi="仿宋_GB2312" w:cs="仿宋_GB2312"/>
          <w:color w:val="000000" w:themeColor="text1"/>
        </w:rPr>
        <w:t>2026年一般公共预算财政拨款收入268.34万元，一般公共预算财政拨款支出268.34万元，比2025年减少47.04万元。其中：基本支出99.69万元，比2025年增加2.95万元，主要用于保障在职人员工资福利及社会保险缴费，保障单位正常运转的各项商品服务支出；项目支出168.65万元，比2025年减少49.99万元，主要原因是该事业单位中有部分预算项目设置到了政府（本级）中，主要用于</w:t>
      </w:r>
      <w:r>
        <w:rPr>
          <w:rFonts w:ascii="方正仿宋_GBK" w:hAnsi="仿宋_GB2312" w:cs="仿宋_GB2312"/>
          <w:color w:val="000000" w:themeColor="text1"/>
        </w:rPr>
        <w:t>城乡社区管理事务、公共设施、环境卫生</w:t>
      </w:r>
      <w:r>
        <w:rPr>
          <w:rFonts w:hint="eastAsia" w:ascii="方正仿宋_GBK" w:hAnsi="仿宋_GB2312" w:cs="仿宋_GB2312"/>
          <w:color w:val="000000" w:themeColor="text1"/>
        </w:rPr>
        <w:t>及应急管理等</w:t>
      </w:r>
      <w:r>
        <w:rPr>
          <w:rFonts w:ascii="方正仿宋_GBK" w:hAnsi="仿宋_GB2312" w:cs="仿宋_GB2312"/>
          <w:color w:val="000000" w:themeColor="text1"/>
        </w:rPr>
        <w:t>支出。</w:t>
      </w:r>
    </w:p>
    <w:p w14:paraId="22C24627">
      <w:pPr>
        <w:spacing w:line="580" w:lineRule="exact"/>
        <w:ind w:firstLine="640" w:firstLineChars="200"/>
        <w:rPr>
          <w:rFonts w:ascii="方正仿宋_GBK" w:hAnsi="仿宋_GB2312" w:cs="仿宋_GB2312"/>
          <w:color w:val="000000" w:themeColor="text1"/>
        </w:rPr>
      </w:pPr>
      <w:r>
        <w:rPr>
          <w:rFonts w:hint="eastAsia" w:ascii="方正仿宋_GBK" w:hAnsi="仿宋_GB2312" w:cs="仿宋_GB2312"/>
          <w:color w:val="000000" w:themeColor="text1"/>
        </w:rPr>
        <w:t>石板镇综合行政执法大队2026年无使用政府性基金预算拨款安排的支出。</w:t>
      </w:r>
    </w:p>
    <w:p w14:paraId="107BFC5A">
      <w:pPr>
        <w:spacing w:line="580" w:lineRule="exact"/>
        <w:ind w:firstLine="640" w:firstLineChars="200"/>
        <w:rPr>
          <w:rFonts w:ascii="方正仿宋_GBK" w:hAnsi="黑体" w:cs="仿宋_GB2312"/>
          <w:color w:val="000000" w:themeColor="text1"/>
        </w:rPr>
      </w:pPr>
      <w:r>
        <w:rPr>
          <w:rFonts w:hint="eastAsia" w:ascii="方正黑体_GBK" w:hAnsi="黑体" w:eastAsia="方正黑体_GBK" w:cs="仿宋_GB2312"/>
          <w:color w:val="000000" w:themeColor="text1"/>
        </w:rPr>
        <w:t>四</w:t>
      </w:r>
      <w:r>
        <w:rPr>
          <w:rFonts w:ascii="方正黑体_GBK" w:hAnsi="黑体" w:eastAsia="方正黑体_GBK" w:cs="仿宋_GB2312"/>
          <w:color w:val="000000" w:themeColor="text1"/>
        </w:rPr>
        <w:t>、</w:t>
      </w:r>
      <w:r>
        <w:rPr>
          <w:rFonts w:hint="eastAsia" w:ascii="方正黑体_GBK" w:hAnsi="黑体" w:eastAsia="方正黑体_GBK" w:cs="仿宋_GB2312"/>
          <w:color w:val="000000" w:themeColor="text1"/>
        </w:rPr>
        <w:t>“三公”经费情况说明</w:t>
      </w:r>
    </w:p>
    <w:p w14:paraId="62F8B243">
      <w:pPr>
        <w:spacing w:line="580" w:lineRule="exact"/>
        <w:ind w:firstLine="600"/>
        <w:rPr>
          <w:rFonts w:ascii="方正仿宋_GBK" w:hAnsi="仿宋_GB2312" w:cs="仿宋_GB2312"/>
          <w:color w:val="000000" w:themeColor="text1"/>
        </w:rPr>
      </w:pPr>
      <w:r>
        <w:rPr>
          <w:rFonts w:hint="eastAsia" w:ascii="方正仿宋_GBK" w:hAnsi="仿宋_GB2312" w:cs="仿宋_GB2312"/>
          <w:color w:val="000000" w:themeColor="text1"/>
        </w:rPr>
        <w:t>2026年“三公”经费预算0万元，比2025年增加0万元。其中：因公出国（境）费用0万元，比2025年增加0万元；公务接待费0万元，比2025年增加0万元；公务用车运行维护费0万元，比2025年增加0万元；公务用车购置费0万元，比2025年增加0万元。</w:t>
      </w:r>
    </w:p>
    <w:p w14:paraId="25B39060">
      <w:pPr>
        <w:spacing w:line="580" w:lineRule="exact"/>
        <w:ind w:firstLine="640" w:firstLineChars="200"/>
        <w:rPr>
          <w:rFonts w:ascii="方正黑体_GBK" w:hAnsi="黑体" w:eastAsia="方正黑体_GBK" w:cs="仿宋_GB2312"/>
          <w:color w:val="000000" w:themeColor="text1"/>
        </w:rPr>
      </w:pPr>
      <w:r>
        <w:rPr>
          <w:rFonts w:hint="eastAsia" w:ascii="方正黑体_GBK" w:hAnsi="黑体" w:eastAsia="方正黑体_GBK" w:cs="仿宋_GB2312"/>
          <w:color w:val="000000" w:themeColor="text1"/>
        </w:rPr>
        <w:t>五、其他重要事项的情况说明</w:t>
      </w:r>
    </w:p>
    <w:p w14:paraId="592BEAAF">
      <w:pPr>
        <w:spacing w:line="580" w:lineRule="exact"/>
        <w:ind w:firstLine="640" w:firstLineChars="200"/>
        <w:rPr>
          <w:rFonts w:ascii="方正仿宋_GBK" w:hAnsi="仿宋_GB2312" w:cs="仿宋_GB2312"/>
          <w:color w:val="000000" w:themeColor="text1"/>
        </w:rPr>
      </w:pPr>
      <w:r>
        <w:rPr>
          <w:rFonts w:hint="eastAsia" w:ascii="方正仿宋_GBK" w:hAnsi="仿宋_GB2312" w:cs="仿宋_GB2312"/>
          <w:bCs/>
          <w:color w:val="000000" w:themeColor="text1"/>
        </w:rPr>
        <w:t>（一）机关运行经费。</w:t>
      </w:r>
      <w:r>
        <w:rPr>
          <w:rFonts w:hint="eastAsia" w:ascii="方正仿宋_GBK" w:hAnsi="仿宋_GB2312" w:cs="仿宋_GB2312"/>
          <w:color w:val="000000" w:themeColor="text1"/>
        </w:rPr>
        <w:t>我单位不在机关运行经费统计范围之内。</w:t>
      </w:r>
    </w:p>
    <w:p w14:paraId="130C6277">
      <w:pPr>
        <w:spacing w:line="580" w:lineRule="exact"/>
        <w:ind w:firstLine="640" w:firstLineChars="200"/>
        <w:rPr>
          <w:rFonts w:ascii="方正仿宋_GBK" w:hAnsi="仿宋_GB2312" w:cs="仿宋_GB2312"/>
          <w:color w:val="000000" w:themeColor="text1"/>
        </w:rPr>
      </w:pPr>
      <w:r>
        <w:rPr>
          <w:rFonts w:hint="eastAsia" w:ascii="方正仿宋_GBK" w:hAnsi="仿宋_GB2312" w:cs="仿宋_GB2312"/>
          <w:color w:val="000000" w:themeColor="text1"/>
        </w:rPr>
        <w:t>（二）政府采购情况。本单位无政府采购预算。</w:t>
      </w:r>
    </w:p>
    <w:p w14:paraId="7339A2EB">
      <w:pPr>
        <w:spacing w:line="580" w:lineRule="exact"/>
        <w:ind w:firstLine="640" w:firstLineChars="200"/>
        <w:rPr>
          <w:rFonts w:ascii="方正仿宋_GBK" w:hAnsi="仿宋_GB2312" w:cs="仿宋_GB2312"/>
          <w:color w:val="000000"/>
        </w:rPr>
      </w:pPr>
      <w:r>
        <w:rPr>
          <w:rFonts w:hint="eastAsia" w:ascii="方正仿宋_GBK" w:hAnsi="仿宋_GB2312" w:cs="仿宋_GB2312"/>
          <w:color w:val="000000"/>
        </w:rPr>
        <w:t>（三）绩效目标设置情况。</w:t>
      </w:r>
      <w:r>
        <w:rPr>
          <w:rFonts w:hint="eastAsia" w:ascii="方正仿宋_GBK" w:hAnsi="仿宋_GB2312" w:cs="仿宋_GB2312"/>
        </w:rPr>
        <w:t>2026年项目支出均实行了绩效目标管理，涉及一般公共预算当年财政拨款168.65万元。</w:t>
      </w:r>
    </w:p>
    <w:p w14:paraId="0CCA4123">
      <w:pPr>
        <w:adjustRightInd w:val="0"/>
        <w:snapToGrid w:val="0"/>
        <w:spacing w:line="580" w:lineRule="exact"/>
        <w:ind w:firstLine="640" w:firstLineChars="200"/>
        <w:rPr>
          <w:rFonts w:ascii="方正仿宋_GBK" w:hAnsi="仿宋_GB2312" w:cs="仿宋_GB2312"/>
          <w:color w:val="0D0D0D"/>
        </w:rPr>
      </w:pPr>
      <w:r>
        <w:rPr>
          <w:rFonts w:hint="eastAsia" w:ascii="方正仿宋_GBK" w:hAnsi="仿宋_GB2312" w:cs="仿宋_GB2312"/>
          <w:color w:val="0D0D0D"/>
        </w:rPr>
        <w:t>（四）国有资产占有使用情况。</w:t>
      </w:r>
      <w:r>
        <w:rPr>
          <w:rFonts w:hint="eastAsia" w:ascii="方正仿宋_GBK" w:hAnsi="仿宋_GB2312" w:cs="仿宋_GB2312"/>
          <w:color w:val="0D0D0D"/>
          <w:lang w:eastAsia="zh-CN"/>
        </w:rPr>
        <w:t>截至</w:t>
      </w:r>
      <w:r>
        <w:rPr>
          <w:rFonts w:hint="eastAsia" w:ascii="方正仿宋_GBK" w:hAnsi="仿宋_GB2312" w:cs="仿宋_GB2312"/>
          <w:color w:val="0D0D0D"/>
        </w:rPr>
        <w:t>2025年12月，所属各预算单位无车辆。2026年一般公共预算未安排购置车辆。</w:t>
      </w:r>
    </w:p>
    <w:p w14:paraId="30FB7932">
      <w:pPr>
        <w:spacing w:line="580" w:lineRule="exact"/>
        <w:ind w:firstLine="640" w:firstLineChars="200"/>
        <w:rPr>
          <w:rFonts w:ascii="方正仿宋_GBK" w:hAnsi="仿宋_GB2312" w:cs="仿宋_GB2312"/>
        </w:rPr>
      </w:pPr>
      <w:r>
        <w:rPr>
          <w:rFonts w:hint="eastAsia" w:ascii="方正仿宋_GBK" w:hAnsi="仿宋_GB2312" w:cs="仿宋_GB2312"/>
        </w:rPr>
        <w:t>（五）委托业务费情况。2026年委托业务费涉及财拨资金85.05万元，主要用于政府采购、购买服务等支出。</w:t>
      </w:r>
    </w:p>
    <w:p w14:paraId="120F5569">
      <w:pPr>
        <w:spacing w:line="580" w:lineRule="exact"/>
        <w:ind w:firstLine="640" w:firstLineChars="200"/>
        <w:rPr>
          <w:rFonts w:ascii="方正黑体_GBK" w:hAnsi="黑体" w:eastAsia="方正黑体_GBK" w:cs="仿宋_GB2312"/>
          <w:color w:val="000000" w:themeColor="text1"/>
        </w:rPr>
      </w:pPr>
      <w:r>
        <w:rPr>
          <w:rFonts w:hint="eastAsia" w:ascii="方正黑体_GBK" w:hAnsi="黑体" w:eastAsia="方正黑体_GBK" w:cs="仿宋_GB2312"/>
          <w:color w:val="000000" w:themeColor="text1"/>
        </w:rPr>
        <w:t>六</w:t>
      </w:r>
      <w:r>
        <w:rPr>
          <w:rFonts w:ascii="方正黑体_GBK" w:hAnsi="黑体" w:eastAsia="方正黑体_GBK" w:cs="仿宋_GB2312"/>
          <w:color w:val="000000" w:themeColor="text1"/>
        </w:rPr>
        <w:t>、</w:t>
      </w:r>
      <w:r>
        <w:rPr>
          <w:rFonts w:hint="eastAsia" w:ascii="方正黑体_GBK" w:hAnsi="黑体" w:eastAsia="方正黑体_GBK" w:cs="仿宋_GB2312"/>
          <w:color w:val="000000" w:themeColor="text1"/>
        </w:rPr>
        <w:t>专业性名词解释</w:t>
      </w:r>
    </w:p>
    <w:p w14:paraId="33C534FD">
      <w:pPr>
        <w:spacing w:line="580" w:lineRule="exact"/>
        <w:ind w:firstLine="640" w:firstLineChars="200"/>
        <w:rPr>
          <w:rFonts w:ascii="方正仿宋_GBK" w:hAnsi="仿宋_GB2312" w:cs="仿宋_GB2312"/>
          <w:color w:val="000000"/>
        </w:rPr>
      </w:pPr>
      <w:r>
        <w:rPr>
          <w:rFonts w:hint="eastAsia" w:ascii="方正仿宋_GBK" w:hAnsi="仿宋_GB2312" w:cs="仿宋_GB2312"/>
          <w:color w:val="000000"/>
        </w:rPr>
        <w:t>（一）财政拨款收入：指本年度从本级财政部门取得的财政拨款，包括一般公共预算财政拨款和政府性基金预算财政拨款。</w:t>
      </w:r>
    </w:p>
    <w:p w14:paraId="2DE6FE46">
      <w:pPr>
        <w:spacing w:line="580" w:lineRule="exact"/>
        <w:ind w:firstLine="640" w:firstLineChars="200"/>
        <w:rPr>
          <w:rFonts w:ascii="方正仿宋_GBK" w:hAnsi="仿宋_GB2312" w:cs="仿宋_GB2312"/>
          <w:color w:val="000000"/>
        </w:rPr>
      </w:pPr>
      <w:r>
        <w:rPr>
          <w:rFonts w:hint="eastAsia" w:ascii="方正仿宋_GBK" w:hAnsi="仿宋_GB2312" w:cs="仿宋_GB2312"/>
          <w:color w:val="000000"/>
        </w:rPr>
        <w:t>（二）财政专户管理资金收入：指缴入财政专户、实行专项管理的高中以上学费、住宿费、高校委托培养费、函大、电大、夜大及短训班培训费等教育收费。单位根据教育收费标准、学生人数等合理预计。</w:t>
      </w:r>
    </w:p>
    <w:p w14:paraId="28F95619">
      <w:pPr>
        <w:spacing w:line="580" w:lineRule="exact"/>
        <w:ind w:firstLine="640" w:firstLineChars="200"/>
        <w:rPr>
          <w:rFonts w:ascii="方正仿宋_GBK" w:hAnsi="仿宋_GB2312" w:cs="仿宋_GB2312"/>
          <w:color w:val="000000"/>
        </w:rPr>
      </w:pPr>
      <w:r>
        <w:rPr>
          <w:rFonts w:hint="eastAsia" w:ascii="方正仿宋_GBK" w:hAnsi="仿宋_GB2312" w:cs="仿宋_GB2312"/>
          <w:color w:val="000000"/>
        </w:rPr>
        <w:t>（三）事业收入（不含教育收费）：指事业单位开展专业业务活动及其辅助活动取得的收入，不包括教育收费。单位根据本年度事业单位开展专业业务活动及其辅助活动计划，结合上年度收入等情况进行预计。</w:t>
      </w:r>
    </w:p>
    <w:p w14:paraId="6203B605">
      <w:pPr>
        <w:spacing w:line="580" w:lineRule="exact"/>
        <w:ind w:firstLine="640" w:firstLineChars="200"/>
        <w:rPr>
          <w:rFonts w:ascii="方正仿宋_GBK" w:hAnsi="仿宋_GB2312" w:cs="仿宋_GB2312"/>
          <w:color w:val="000000"/>
        </w:rPr>
      </w:pPr>
      <w:r>
        <w:rPr>
          <w:rFonts w:hint="eastAsia" w:ascii="方正仿宋_GBK" w:hAnsi="仿宋_GB2312" w:cs="仿宋_GB2312"/>
          <w:color w:val="000000"/>
        </w:rPr>
        <w:t>（四）上级补助收入：指从主管部门或上级单位取得的财政拨款以外的其他补助收入。单位结合上年度上级补助收入等情况进行预计。</w:t>
      </w:r>
    </w:p>
    <w:p w14:paraId="512B3E9F">
      <w:pPr>
        <w:spacing w:line="580" w:lineRule="exact"/>
        <w:ind w:firstLine="640" w:firstLineChars="200"/>
        <w:rPr>
          <w:rFonts w:ascii="方正仿宋_GBK" w:hAnsi="仿宋_GB2312" w:cs="仿宋_GB2312"/>
          <w:color w:val="000000"/>
        </w:rPr>
      </w:pPr>
      <w:r>
        <w:rPr>
          <w:rFonts w:hint="eastAsia" w:ascii="方正仿宋_GBK" w:hAnsi="仿宋_GB2312" w:cs="仿宋_GB2312"/>
          <w:color w:val="000000"/>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0B422D67">
      <w:pPr>
        <w:spacing w:line="580" w:lineRule="exact"/>
        <w:ind w:firstLine="640" w:firstLineChars="200"/>
        <w:rPr>
          <w:rFonts w:ascii="方正仿宋_GBK" w:hAnsi="仿宋_GB2312" w:cs="仿宋_GB2312"/>
          <w:color w:val="000000"/>
        </w:rPr>
      </w:pPr>
      <w:r>
        <w:rPr>
          <w:rFonts w:hint="eastAsia" w:ascii="方正仿宋_GBK" w:hAnsi="仿宋_GB2312" w:cs="仿宋_GB2312"/>
          <w:color w:val="000000"/>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0FF4B9B3">
      <w:pPr>
        <w:spacing w:line="580" w:lineRule="exact"/>
        <w:ind w:firstLine="640" w:firstLineChars="200"/>
        <w:rPr>
          <w:rFonts w:ascii="方正仿宋_GBK" w:hAnsi="仿宋_GB2312" w:cs="仿宋_GB2312"/>
          <w:color w:val="000000"/>
        </w:rPr>
      </w:pPr>
      <w:r>
        <w:rPr>
          <w:rFonts w:hint="eastAsia" w:ascii="方正仿宋_GBK" w:hAnsi="仿宋_GB2312" w:cs="仿宋_GB2312"/>
          <w:color w:val="000000"/>
        </w:rPr>
        <w:t>（七）其他收入：指债务收入、投资收益等收入，单位根据情况合理预计，全部编入预算。</w:t>
      </w:r>
    </w:p>
    <w:p w14:paraId="0A0EDE9E">
      <w:pPr>
        <w:spacing w:line="580" w:lineRule="exact"/>
        <w:ind w:firstLine="640" w:firstLineChars="200"/>
        <w:rPr>
          <w:rFonts w:ascii="方正仿宋_GBK" w:hAnsi="仿宋_GB2312" w:cs="仿宋_GB2312"/>
          <w:color w:val="000000"/>
        </w:rPr>
      </w:pPr>
      <w:r>
        <w:rPr>
          <w:rFonts w:hint="eastAsia" w:ascii="方正仿宋_GBK" w:hAnsi="仿宋_GB2312" w:cs="仿宋_GB2312"/>
          <w:color w:val="000000"/>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0D5039A1">
      <w:pPr>
        <w:spacing w:line="580" w:lineRule="exact"/>
        <w:ind w:firstLine="640" w:firstLineChars="200"/>
        <w:rPr>
          <w:rFonts w:ascii="方正仿宋_GBK" w:hAnsi="仿宋_GB2312" w:cs="仿宋_GB2312"/>
          <w:color w:val="000000"/>
        </w:rPr>
      </w:pPr>
      <w:r>
        <w:rPr>
          <w:rFonts w:hint="eastAsia" w:ascii="方正仿宋_GBK" w:hAnsi="仿宋_GB2312" w:cs="仿宋_GB2312"/>
          <w:color w:val="000000"/>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5465D3F">
      <w:pPr>
        <w:spacing w:line="580" w:lineRule="exact"/>
        <w:ind w:firstLine="640" w:firstLineChars="200"/>
        <w:rPr>
          <w:rFonts w:ascii="方正仿宋_GBK" w:hAnsi="仿宋_GB2312" w:cs="仿宋_GB2312"/>
          <w:color w:val="000000"/>
        </w:rPr>
      </w:pPr>
      <w:r>
        <w:rPr>
          <w:rFonts w:hint="eastAsia" w:ascii="方正仿宋_GBK" w:hAnsi="仿宋_GB2312" w:cs="仿宋_GB2312"/>
          <w:color w:val="000000"/>
        </w:rPr>
        <w:t>（十）项目支出：指在基本支出之外为完成特定行政任务和事业发展目标所发生的支出。</w:t>
      </w:r>
    </w:p>
    <w:p w14:paraId="148C00F9">
      <w:pPr>
        <w:spacing w:line="580" w:lineRule="exact"/>
        <w:ind w:firstLine="640" w:firstLineChars="200"/>
        <w:rPr>
          <w:rFonts w:ascii="方正仿宋_GBK" w:hAnsi="仿宋_GB2312" w:cs="仿宋_GB2312"/>
          <w:color w:val="000000"/>
        </w:rPr>
      </w:pPr>
      <w:r>
        <w:rPr>
          <w:rFonts w:hint="eastAsia" w:ascii="方正仿宋_GBK" w:hAnsi="仿宋_GB2312" w:cs="仿宋_GB2312"/>
          <w:color w:val="000000"/>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5BC6017">
      <w:pPr>
        <w:spacing w:line="580" w:lineRule="exact"/>
        <w:ind w:firstLine="640" w:firstLineChars="200"/>
        <w:rPr>
          <w:rFonts w:ascii="方正仿宋_GBK" w:hAnsi="仿宋_GB2312" w:cs="仿宋_GB2312"/>
          <w:color w:val="000000"/>
        </w:rPr>
      </w:pPr>
      <w:r>
        <w:rPr>
          <w:rFonts w:hint="eastAsia" w:ascii="方正仿宋_GBK" w:hAnsi="仿宋_GB2312" w:cs="仿宋_GB2312"/>
          <w:color w:val="000000"/>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084CF0B8">
      <w:pPr>
        <w:spacing w:line="580" w:lineRule="exact"/>
        <w:ind w:firstLine="640" w:firstLineChars="200"/>
        <w:rPr>
          <w:rFonts w:ascii="方正仿宋_GBK" w:hAnsi="仿宋_GB2312" w:cs="仿宋_GB2312"/>
          <w:color w:val="000000"/>
        </w:rPr>
      </w:pPr>
      <w:r>
        <w:rPr>
          <w:rFonts w:hint="eastAsia" w:ascii="方正仿宋_GBK" w:hAnsi="仿宋_GB2312" w:cs="仿宋_GB2312"/>
          <w:color w:val="000000"/>
        </w:rPr>
        <w:t>（十三）工资福利支出（支出经济分类科目类级）：反映单位开支的在职职工和编制外长期聘用人员的各类劳动报酬，以及为上述人员缴纳的各项社会保险费等。</w:t>
      </w:r>
    </w:p>
    <w:p w14:paraId="42020F43">
      <w:pPr>
        <w:spacing w:line="580" w:lineRule="exact"/>
        <w:ind w:firstLine="640" w:firstLineChars="200"/>
        <w:rPr>
          <w:rFonts w:ascii="方正仿宋_GBK" w:hAnsi="仿宋_GB2312" w:cs="仿宋_GB2312"/>
          <w:color w:val="000000"/>
        </w:rPr>
      </w:pPr>
      <w:r>
        <w:rPr>
          <w:rFonts w:hint="eastAsia" w:ascii="方正仿宋_GBK" w:hAnsi="仿宋_GB2312" w:cs="仿宋_GB2312"/>
          <w:color w:val="000000"/>
        </w:rPr>
        <w:t>（十四）商品和服务支出（支出经济分类科目类级）：反映单位购买商品和服务的支出（不包括用于购置固定资产的支出、战略性和应急储备支出）。</w:t>
      </w:r>
    </w:p>
    <w:p w14:paraId="3C99DC54">
      <w:pPr>
        <w:spacing w:line="580" w:lineRule="exact"/>
        <w:ind w:firstLine="640" w:firstLineChars="200"/>
        <w:rPr>
          <w:rFonts w:ascii="方正仿宋_GBK" w:hAnsi="仿宋_GB2312" w:cs="仿宋_GB2312"/>
          <w:color w:val="000000"/>
        </w:rPr>
      </w:pPr>
      <w:r>
        <w:rPr>
          <w:rFonts w:hint="eastAsia" w:ascii="方正仿宋_GBK" w:hAnsi="仿宋_GB2312" w:cs="仿宋_GB2312"/>
          <w:color w:val="000000"/>
        </w:rPr>
        <w:t>（十五）对个人和家庭的补助（支出经济分类科目类级）：反映用于对个人和家庭的补助支出。</w:t>
      </w:r>
    </w:p>
    <w:p w14:paraId="60B9D54F">
      <w:pPr>
        <w:spacing w:line="580" w:lineRule="exact"/>
        <w:ind w:firstLine="640" w:firstLineChars="200"/>
        <w:rPr>
          <w:rFonts w:ascii="方正仿宋_GBK" w:hAnsi="仿宋_GB2312" w:cs="仿宋_GB2312"/>
          <w:color w:val="000000"/>
        </w:rPr>
      </w:pPr>
      <w:r>
        <w:rPr>
          <w:rFonts w:hint="eastAsia" w:ascii="方正仿宋_GBK" w:hAnsi="仿宋_GB2312" w:cs="仿宋_GB2312"/>
          <w:color w:val="000000"/>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77ED8B5C">
      <w:pPr>
        <w:spacing w:line="580" w:lineRule="exact"/>
        <w:ind w:firstLine="640" w:firstLineChars="200"/>
        <w:rPr>
          <w:rFonts w:ascii="方正仿宋_GBK" w:hAnsi="仿宋_GB2312" w:cs="仿宋_GB2312"/>
          <w:color w:val="000000" w:themeColor="text1"/>
        </w:rPr>
      </w:pPr>
    </w:p>
    <w:p w14:paraId="4D72D708">
      <w:pPr>
        <w:spacing w:line="580" w:lineRule="exact"/>
        <w:rPr>
          <w:rFonts w:ascii="方正仿宋_GBK"/>
          <w:szCs w:val="32"/>
        </w:rPr>
      </w:pPr>
      <w:r>
        <w:rPr>
          <w:rFonts w:hint="eastAsia" w:ascii="方正仿宋_GBK"/>
          <w:szCs w:val="32"/>
        </w:rPr>
        <w:t>部门预算公开联系人：戚茂娇，联系方式：023-65765797</w:t>
      </w:r>
    </w:p>
    <w:p w14:paraId="4E1869AD"/>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A7BC65-531C-47E6-B234-C31DE35A02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D96AA94-1A9A-449D-81F2-B9E5E615D29E}"/>
  </w:font>
  <w:font w:name="方正仿宋_GBK">
    <w:panose1 w:val="03000509000000000000"/>
    <w:charset w:val="86"/>
    <w:family w:val="script"/>
    <w:pitch w:val="default"/>
    <w:sig w:usb0="00000001" w:usb1="080E0000" w:usb2="00000000" w:usb3="00000000" w:csb0="00040000" w:csb1="00000000"/>
    <w:embedRegular r:id="rId3" w:fontKey="{037BF513-0851-43EE-A982-4D212A35F3BD}"/>
  </w:font>
  <w:font w:name="仿宋">
    <w:panose1 w:val="02010609060101010101"/>
    <w:charset w:val="86"/>
    <w:family w:val="modern"/>
    <w:pitch w:val="default"/>
    <w:sig w:usb0="800002BF" w:usb1="38CF7CFA" w:usb2="00000016" w:usb3="00000000" w:csb0="00040001" w:csb1="00000000"/>
    <w:embedRegular r:id="rId4" w:fontKey="{1727282C-0B0E-43AF-A913-E9EE3C00A20B}"/>
  </w:font>
  <w:font w:name="方正小标宋_GBK">
    <w:panose1 w:val="02000000000000000000"/>
    <w:charset w:val="86"/>
    <w:family w:val="script"/>
    <w:pitch w:val="default"/>
    <w:sig w:usb0="A00002BF" w:usb1="38CF7CFA" w:usb2="00082016" w:usb3="00000000" w:csb0="00040001" w:csb1="00000000"/>
    <w:embedRegular r:id="rId5" w:fontKey="{5901EDD9-C20F-437C-B2ED-4BA78C8B847E}"/>
  </w:font>
  <w:font w:name="华文中宋">
    <w:altName w:val="宋体"/>
    <w:panose1 w:val="02010600040101010101"/>
    <w:charset w:val="86"/>
    <w:family w:val="auto"/>
    <w:pitch w:val="default"/>
    <w:sig w:usb0="00000000" w:usb1="00000000" w:usb2="00000010" w:usb3="00000000" w:csb0="0004009F" w:csb1="00000000"/>
    <w:embedRegular r:id="rId6" w:fontKey="{E555E30E-F1D5-4AE3-BF6B-3429DA4DF697}"/>
  </w:font>
  <w:font w:name="汉仪中宋简">
    <w:altName w:val="宋体"/>
    <w:panose1 w:val="00000000000000000000"/>
    <w:charset w:val="00"/>
    <w:family w:val="auto"/>
    <w:pitch w:val="default"/>
    <w:sig w:usb0="00000000" w:usb1="00000000" w:usb2="00000000" w:usb3="00000000" w:csb0="00000000" w:csb1="00000000"/>
  </w:font>
  <w:font w:name="方正黑体_GBK">
    <w:panose1 w:val="02010600010101010101"/>
    <w:charset w:val="86"/>
    <w:family w:val="script"/>
    <w:pitch w:val="default"/>
    <w:sig w:usb0="00000001" w:usb1="080E0000" w:usb2="00000000" w:usb3="00000000" w:csb0="00040000" w:csb1="00000000"/>
    <w:embedRegular r:id="rId7" w:fontKey="{7E9756FC-CE06-4EFF-9356-A385B25EEED8}"/>
  </w:font>
  <w:font w:name="仿宋_GB2312">
    <w:altName w:val="仿宋"/>
    <w:panose1 w:val="00000000000000000000"/>
    <w:charset w:val="86"/>
    <w:family w:val="modern"/>
    <w:pitch w:val="default"/>
    <w:sig w:usb0="00000000" w:usb1="00000000" w:usb2="00000010" w:usb3="00000000" w:csb0="00040000" w:csb1="00000000"/>
    <w:embedRegular r:id="rId8" w:fontKey="{64180047-2BEB-4263-86AE-B19A46D46DFC}"/>
  </w:font>
  <w:font w:name="方正楷体_GBK">
    <w:panose1 w:val="02000000000000000000"/>
    <w:charset w:val="86"/>
    <w:family w:val="script"/>
    <w:pitch w:val="default"/>
    <w:sig w:usb0="800002BF" w:usb1="38CF7CFA" w:usb2="00000016" w:usb3="00000000" w:csb0="00040000" w:csb1="00000000"/>
    <w:embedRegular r:id="rId9" w:fontKey="{C98CD22D-5470-4FD6-BC5E-FEC5D172C7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026CD">
    <w:pPr>
      <w:pStyle w:val="4"/>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333FF351">
                <w:pPr>
                  <w:pStyle w:val="4"/>
                </w:pPr>
                <w:r>
                  <w:rPr>
                    <w:rFonts w:hint="eastAsia" w:ascii="方正仿宋_GBK" w:hAnsi="方正仿宋_GBK" w:cs="方正仿宋_GBK"/>
                    <w:sz w:val="32"/>
                    <w:szCs w:val="32"/>
                  </w:rPr>
                  <w:fldChar w:fldCharType="begin"/>
                </w:r>
                <w:r>
                  <w:rPr>
                    <w:rFonts w:hint="eastAsia" w:ascii="方正仿宋_GBK" w:hAnsi="方正仿宋_GBK" w:cs="方正仿宋_GBK"/>
                    <w:sz w:val="32"/>
                    <w:szCs w:val="32"/>
                  </w:rPr>
                  <w:instrText xml:space="preserve"> PAGE  \* MERGEFORMAT </w:instrText>
                </w:r>
                <w:r>
                  <w:rPr>
                    <w:rFonts w:hint="eastAsia" w:ascii="方正仿宋_GBK" w:hAnsi="方正仿宋_GBK" w:cs="方正仿宋_GBK"/>
                    <w:sz w:val="32"/>
                    <w:szCs w:val="32"/>
                  </w:rPr>
                  <w:fldChar w:fldCharType="separate"/>
                </w:r>
                <w:r>
                  <w:rPr>
                    <w:rFonts w:ascii="方正仿宋_GBK" w:hAnsi="方正仿宋_GBK" w:cs="方正仿宋_GBK"/>
                    <w:sz w:val="32"/>
                    <w:szCs w:val="32"/>
                  </w:rPr>
                  <w:t>- 5 -</w:t>
                </w:r>
                <w:r>
                  <w:rPr>
                    <w:rFonts w:hint="eastAsia" w:ascii="方正仿宋_GBK" w:hAnsi="方正仿宋_GBK" w:cs="方正仿宋_GBK"/>
                    <w:sz w:val="32"/>
                    <w:szCs w:val="32"/>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471A2"/>
    <w:rsid w:val="00196224"/>
    <w:rsid w:val="00312421"/>
    <w:rsid w:val="005B6F56"/>
    <w:rsid w:val="005D437C"/>
    <w:rsid w:val="00702FA3"/>
    <w:rsid w:val="009D2257"/>
    <w:rsid w:val="009D47E5"/>
    <w:rsid w:val="00AA7B8E"/>
    <w:rsid w:val="00AB370D"/>
    <w:rsid w:val="00EE2289"/>
    <w:rsid w:val="00F471A2"/>
    <w:rsid w:val="01DC6F3A"/>
    <w:rsid w:val="04667978"/>
    <w:rsid w:val="0707209E"/>
    <w:rsid w:val="096F621C"/>
    <w:rsid w:val="09EE7810"/>
    <w:rsid w:val="0A761798"/>
    <w:rsid w:val="0D4170AE"/>
    <w:rsid w:val="17D940CB"/>
    <w:rsid w:val="19831E6C"/>
    <w:rsid w:val="19B9111F"/>
    <w:rsid w:val="1ADF0CC8"/>
    <w:rsid w:val="1B4B785C"/>
    <w:rsid w:val="21257BE1"/>
    <w:rsid w:val="241C6E07"/>
    <w:rsid w:val="2B59AB0B"/>
    <w:rsid w:val="2D0578E5"/>
    <w:rsid w:val="344E7C6B"/>
    <w:rsid w:val="39750D3E"/>
    <w:rsid w:val="3BFD0729"/>
    <w:rsid w:val="3F3B3618"/>
    <w:rsid w:val="42860DA7"/>
    <w:rsid w:val="4EF87C1F"/>
    <w:rsid w:val="4FF47F8D"/>
    <w:rsid w:val="500A7D66"/>
    <w:rsid w:val="586B6A4E"/>
    <w:rsid w:val="6BFF778B"/>
    <w:rsid w:val="6E886FF6"/>
    <w:rsid w:val="77FB3A8A"/>
    <w:rsid w:val="7B5E5DE9"/>
    <w:rsid w:val="7EBFE7BA"/>
    <w:rsid w:val="A77F2D4D"/>
    <w:rsid w:val="B725BBB1"/>
    <w:rsid w:val="BDE8B9D1"/>
    <w:rsid w:val="DFE70B47"/>
    <w:rsid w:val="E7F2FF03"/>
    <w:rsid w:val="EE67EE9B"/>
    <w:rsid w:val="EEFF8F3D"/>
    <w:rsid w:val="EFC745CF"/>
    <w:rsid w:val="F7775557"/>
    <w:rsid w:val="FBDF1D0E"/>
    <w:rsid w:val="FF354C03"/>
    <w:rsid w:val="FFEF6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u w:val="single"/>
    </w:rPr>
  </w:style>
  <w:style w:type="paragraph" w:styleId="9">
    <w:name w:val="List Paragraph"/>
    <w:basedOn w:val="1"/>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2503</Words>
  <Characters>2666</Characters>
  <Lines>19</Lines>
  <Paragraphs>5</Paragraphs>
  <TotalTime>0</TotalTime>
  <ScaleCrop>false</ScaleCrop>
  <LinksUpToDate>false</LinksUpToDate>
  <CharactersWithSpaces>2666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2022-04-23T07:33:00Z</dcterms:created>
  <dc:creator>Administrator</dc:creator>
  <cp:lastModifiedBy>silence</cp:lastModifiedBy>
  <cp:lastPrinted>2023-04-22T03:42:00Z</cp:lastPrinted>
  <dcterms:modified xsi:type="dcterms:W3CDTF">2026-07-08T07:38:08Z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E280C5447EE24D77947733642780972E</vt:lpwstr>
  </property>
  <property fmtid="{D5CDD505-2E9C-101B-9397-08002B2CF9AE}" pid="4" name="KSOTemplateDocerSaveRecord">
    <vt:lpwstr>eyJoZGlkIjoiZjRmYWUxOWJhMWE5OGFmZGQyNzA0NjBkZTNhOGRjMDEiLCJ1c2VySWQiOiIyNDg4ODMzNzUifQ==</vt:lpwstr>
  </property>
</Properties>
</file>