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E4484">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石板镇产业发展服务中心</w:t>
      </w:r>
    </w:p>
    <w:p w14:paraId="503D82C9">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2026年预算公开情况说明</w:t>
      </w:r>
    </w:p>
    <w:p w14:paraId="053A2797">
      <w:pPr>
        <w:spacing w:line="600" w:lineRule="exact"/>
        <w:ind w:firstLine="880" w:firstLineChars="200"/>
        <w:jc w:val="center"/>
        <w:rPr>
          <w:rFonts w:ascii="华文中宋" w:hAnsi="华文中宋" w:eastAsia="华文中宋" w:cs="华文中宋"/>
          <w:sz w:val="44"/>
          <w:szCs w:val="44"/>
        </w:rPr>
      </w:pPr>
    </w:p>
    <w:p w14:paraId="3754E75D">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一、单位基本情况</w:t>
      </w:r>
    </w:p>
    <w:p w14:paraId="0052AEAF">
      <w:pPr>
        <w:spacing w:line="600" w:lineRule="exact"/>
        <w:ind w:firstLine="640" w:firstLineChars="200"/>
        <w:rPr>
          <w:rFonts w:ascii="方正楷体_GBK" w:hAnsi="仿宋_GB2312" w:eastAsia="方正楷体_GBK" w:cs="仿宋_GB2312"/>
          <w:color w:val="000000"/>
          <w:szCs w:val="22"/>
        </w:rPr>
      </w:pPr>
      <w:r>
        <w:rPr>
          <w:rFonts w:hint="eastAsia" w:ascii="方正楷体_GBK" w:hAnsi="仿宋_GB2312" w:eastAsia="方正楷体_GBK" w:cs="仿宋_GB2312"/>
          <w:color w:val="000000"/>
          <w:szCs w:val="22"/>
        </w:rPr>
        <w:t>（一）职能职责</w:t>
      </w:r>
    </w:p>
    <w:p w14:paraId="464A4563">
      <w:pPr>
        <w:adjustRightInd w:val="0"/>
        <w:snapToGrid w:val="0"/>
        <w:spacing w:line="600" w:lineRule="exact"/>
        <w:ind w:firstLine="640" w:firstLineChars="200"/>
        <w:rPr>
          <w:rFonts w:ascii="方正仿宋_GBK" w:hAnsi="方正仿宋_GBK" w:cs="方正仿宋_GBK"/>
          <w:szCs w:val="32"/>
        </w:rPr>
      </w:pPr>
      <w:r>
        <w:rPr>
          <w:rFonts w:hint="eastAsia" w:ascii="方正仿宋_GBK" w:hAnsi="方正仿宋_GBK" w:cs="方正仿宋_GBK"/>
          <w:szCs w:val="32"/>
        </w:rPr>
        <w:t>石板镇产业发展服务中心职能职责主要为负责产业规划，产业的招引、培育、落地、技术支持等产业发展全链条服务性工作，协助推</w:t>
      </w:r>
      <w:bookmarkStart w:id="0" w:name="_GoBack"/>
      <w:bookmarkEnd w:id="0"/>
      <w:r>
        <w:rPr>
          <w:rFonts w:hint="eastAsia" w:ascii="方正仿宋_GBK" w:hAnsi="方正仿宋_GBK" w:cs="方正仿宋_GBK"/>
          <w:szCs w:val="32"/>
        </w:rPr>
        <w:t>进重大项目建设等工作。</w:t>
      </w:r>
    </w:p>
    <w:p w14:paraId="36479FA4">
      <w:pPr>
        <w:pStyle w:val="7"/>
        <w:tabs>
          <w:tab w:val="center" w:pos="4153"/>
          <w:tab w:val="left" w:pos="7275"/>
        </w:tabs>
        <w:spacing w:line="600" w:lineRule="exact"/>
        <w:ind w:left="640" w:firstLine="0" w:firstLineChars="0"/>
        <w:jc w:val="left"/>
        <w:rPr>
          <w:rFonts w:ascii="方正楷体_GBK" w:hAnsi="仿宋_GB2312" w:eastAsia="方正楷体_GBK" w:cs="仿宋_GB2312"/>
          <w:color w:val="000000"/>
          <w:sz w:val="32"/>
        </w:rPr>
      </w:pPr>
      <w:r>
        <w:rPr>
          <w:rFonts w:hint="eastAsia" w:ascii="方正楷体_GBK" w:hAnsi="仿宋_GB2312" w:eastAsia="方正楷体_GBK" w:cs="仿宋_GB2312"/>
          <w:color w:val="000000"/>
          <w:sz w:val="32"/>
        </w:rPr>
        <w:t>（二）单位构成</w:t>
      </w:r>
    </w:p>
    <w:p w14:paraId="789CE2CD">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本单位未设置内部机构。</w:t>
      </w:r>
    </w:p>
    <w:p w14:paraId="2E07B600">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二、单位收支总体情况</w:t>
      </w:r>
    </w:p>
    <w:p w14:paraId="6B2467B4">
      <w:pPr>
        <w:spacing w:line="600" w:lineRule="exact"/>
        <w:ind w:firstLine="640" w:firstLineChars="200"/>
        <w:rPr>
          <w:rFonts w:ascii="方正仿宋_GBK" w:hAnsi="仿宋_GB2312" w:cs="仿宋_GB2312"/>
          <w:color w:val="FF0000"/>
        </w:rPr>
      </w:pPr>
      <w:r>
        <w:rPr>
          <w:rFonts w:hint="eastAsia" w:ascii="方正楷体_GBK" w:hAnsi="方正楷体_GBK" w:eastAsia="方正楷体_GBK" w:cs="方正楷体_GBK"/>
          <w:color w:val="000000" w:themeColor="text1"/>
          <w:szCs w:val="22"/>
        </w:rPr>
        <w:t>（一）收入预算：</w:t>
      </w:r>
      <w:r>
        <w:rPr>
          <w:rFonts w:hint="eastAsia" w:ascii="方正仿宋_GBK" w:hAnsi="仿宋_GB2312" w:cs="仿宋_GB2312"/>
          <w:color w:val="000000" w:themeColor="text1"/>
        </w:rPr>
        <w:t>2026年年初预算数95.99万元，其中：一般公共预算拨款95.99万元，政府性基金预算拨款0万元，国有资本经营预算收入0万元，事业收入0万元，事业单位经营收入0万元，其他收入0万元。收入较2025年减少86.78万元，主要是一般公共预算经费拨款减少86.78万元。</w:t>
      </w:r>
    </w:p>
    <w:p w14:paraId="0931B273">
      <w:pPr>
        <w:spacing w:line="600" w:lineRule="exact"/>
        <w:ind w:firstLine="640" w:firstLineChars="200"/>
        <w:rPr>
          <w:rFonts w:ascii="方正仿宋_GBK" w:hAnsi="仿宋_GB2312" w:cs="仿宋_GB2312"/>
          <w:color w:val="000000" w:themeColor="text1"/>
        </w:rPr>
      </w:pPr>
      <w:r>
        <w:rPr>
          <w:rFonts w:hint="eastAsia" w:ascii="方正楷体_GBK" w:hAnsi="方正楷体_GBK" w:eastAsia="方正楷体_GBK" w:cs="方正楷体_GBK"/>
          <w:color w:val="000000" w:themeColor="text1"/>
          <w:szCs w:val="22"/>
        </w:rPr>
        <w:t>（二）支出预算：</w:t>
      </w:r>
      <w:r>
        <w:rPr>
          <w:rFonts w:hint="eastAsia" w:ascii="方正仿宋_GBK" w:hAnsi="仿宋_GB2312" w:cs="仿宋_GB2312"/>
          <w:color w:val="000000" w:themeColor="text1"/>
        </w:rPr>
        <w:t>2026年年初预算数95.99万元，其中：一般公共服务支出预算61.1万元，教育支出预算0万元，社会保障和就业支出预算27.93万元，卫生健康支出预算3.67万元，住房保障支出预算3.29万元。支出预算较2025年减少86.78万元，主要是基本支出预算减少15万元，项目支出预算减少71.78万元。</w:t>
      </w:r>
    </w:p>
    <w:p w14:paraId="4E8CB42D">
      <w:pPr>
        <w:spacing w:line="600" w:lineRule="exact"/>
        <w:ind w:firstLine="640" w:firstLineChars="200"/>
        <w:rPr>
          <w:rFonts w:ascii="方正仿宋_GBK" w:hAnsi="黑体" w:cs="仿宋_GB2312"/>
          <w:color w:val="000000" w:themeColor="text1"/>
        </w:rPr>
      </w:pPr>
      <w:r>
        <w:rPr>
          <w:rFonts w:hint="eastAsia" w:ascii="方正黑体_GBK" w:hAnsi="黑体" w:eastAsia="方正黑体_GBK" w:cs="仿宋_GB2312"/>
          <w:color w:val="000000" w:themeColor="text1"/>
        </w:rPr>
        <w:t>三</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单位预算情况说明</w:t>
      </w:r>
    </w:p>
    <w:p w14:paraId="5CD05CE6">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2026年一般公共预算财政拨款收入95.99万元，一般公共预算财政拨款支出95.99万元，比2025年减少86.78万元。其中：基本支出95.99万元，比2025年减少15万元，</w:t>
      </w:r>
      <w:r>
        <w:rPr>
          <w:rFonts w:hint="eastAsia" w:ascii="方正仿宋_GBK" w:hAnsi="仿宋_GB2312" w:cs="仿宋_GB2312"/>
          <w:color w:val="000000"/>
        </w:rPr>
        <w:t>主要原因是缩减日常公用经费开支、优化支出结构，主要用于保</w:t>
      </w:r>
      <w:r>
        <w:rPr>
          <w:rFonts w:ascii="方正仿宋_GBK" w:hAnsi="仿宋_GB2312" w:cs="仿宋_GB2312"/>
          <w:color w:val="000000"/>
        </w:rPr>
        <w:t>障</w:t>
      </w:r>
      <w:r>
        <w:rPr>
          <w:rFonts w:hint="eastAsia" w:ascii="方正仿宋_GBK" w:hAnsi="仿宋_GB2312" w:cs="仿宋_GB2312"/>
          <w:color w:val="000000"/>
        </w:rPr>
        <w:t>部门</w:t>
      </w:r>
      <w:r>
        <w:rPr>
          <w:rFonts w:hint="eastAsia" w:ascii="方正仿宋_GBK" w:hAnsi="仿宋_GB2312" w:cs="仿宋_GB2312"/>
          <w:color w:val="000000" w:themeColor="text1"/>
        </w:rPr>
        <w:t>在职人员工资福利及社会保险缴费，</w:t>
      </w:r>
      <w:r>
        <w:rPr>
          <w:rFonts w:ascii="方正仿宋_GBK" w:hAnsi="仿宋_GB2312" w:cs="仿宋_GB2312"/>
          <w:color w:val="000000" w:themeColor="text1"/>
        </w:rPr>
        <w:t>退休人员</w:t>
      </w:r>
      <w:r>
        <w:rPr>
          <w:rFonts w:hint="eastAsia" w:ascii="方正仿宋_GBK" w:hAnsi="仿宋_GB2312" w:cs="仿宋_GB2312"/>
          <w:color w:val="000000" w:themeColor="text1"/>
        </w:rPr>
        <w:t>补助等，保障部门正常运转的各项商品服务支出；项目支出0万元，比2025年减少71.78万元，主要原因是该事业单位中有部分预算项目设置到了政府（本级）中，主要用于村社组织运转等重点工作。</w:t>
      </w:r>
    </w:p>
    <w:p w14:paraId="319E7DC4">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石板镇产业发展服务中心2026年无使用政府性基金预算拨款安排的支出。</w:t>
      </w:r>
    </w:p>
    <w:p w14:paraId="207FBF7B">
      <w:pPr>
        <w:spacing w:line="600" w:lineRule="exact"/>
        <w:ind w:firstLine="640" w:firstLineChars="200"/>
        <w:rPr>
          <w:rFonts w:ascii="方正仿宋_GBK" w:hAnsi="黑体" w:cs="仿宋_GB2312"/>
          <w:color w:val="000000" w:themeColor="text1"/>
        </w:rPr>
      </w:pPr>
      <w:r>
        <w:rPr>
          <w:rFonts w:hint="eastAsia" w:ascii="方正黑体_GBK" w:hAnsi="黑体" w:eastAsia="方正黑体_GBK" w:cs="仿宋_GB2312"/>
          <w:color w:val="000000" w:themeColor="text1"/>
        </w:rPr>
        <w:t>四</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“三公”经费情况说明</w:t>
      </w:r>
    </w:p>
    <w:p w14:paraId="4C505797">
      <w:pPr>
        <w:spacing w:line="600" w:lineRule="exact"/>
        <w:ind w:firstLine="600"/>
        <w:rPr>
          <w:rFonts w:ascii="方正仿宋_GBK" w:hAnsi="仿宋_GB2312" w:cs="仿宋_GB2312"/>
          <w:color w:val="000000" w:themeColor="text1"/>
        </w:rPr>
      </w:pPr>
      <w:r>
        <w:rPr>
          <w:rFonts w:hint="eastAsia" w:ascii="方正仿宋_GBK" w:hAnsi="仿宋_GB2312" w:cs="仿宋_GB2312"/>
          <w:color w:val="000000" w:themeColor="text1"/>
        </w:rPr>
        <w:t>2026年“三公”经费预算4.5万元，比2025年增加4.5万元。其中：因公出国（境）费用0万元，比2025年增加0万元；公务接待费0万元，比2025年增加0万元；公务用车运行维护费4.5万元，比2025年增加4.5万元，主要为机构改革后，有一辆事业编制车辆从政府（本级）调入了产业发展服务中心中，故公务用车运行维护费也一并从政府（本级）调整到产业发展服务中心；公务用车购置费0万元，比2025年增加0万元。</w:t>
      </w:r>
    </w:p>
    <w:p w14:paraId="726CCE0E">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五、其他重要事项的情况说明</w:t>
      </w:r>
    </w:p>
    <w:p w14:paraId="5D60B1EB">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bCs/>
          <w:color w:val="000000" w:themeColor="text1"/>
        </w:rPr>
        <w:t>（一）机关运行经费。</w:t>
      </w:r>
      <w:r>
        <w:rPr>
          <w:rFonts w:hint="eastAsia" w:ascii="方正仿宋_GBK" w:hAnsi="仿宋_GB2312" w:cs="仿宋_GB2312"/>
          <w:color w:val="000000" w:themeColor="text1"/>
        </w:rPr>
        <w:t>我单位不在机关运行经费统计范围之内。</w:t>
      </w:r>
    </w:p>
    <w:p w14:paraId="65E148EC">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（二）政府采购情况。本单位无政府采购预算。</w:t>
      </w:r>
    </w:p>
    <w:p w14:paraId="6F9AD806">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（三）绩效目标设置情况。</w:t>
      </w:r>
      <w:r>
        <w:rPr>
          <w:rFonts w:hint="eastAsia" w:ascii="方正仿宋_GBK" w:hAnsi="仿宋_GB2312" w:cs="仿宋_GB2312"/>
        </w:rPr>
        <w:t>2026年项目支出均实行了绩效目标管理，涉及一般公共预算当年财政拨款0万元。</w:t>
      </w:r>
    </w:p>
    <w:p w14:paraId="697205E8">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w:t>
      </w:r>
      <w:r>
        <w:rPr>
          <w:rFonts w:hint="eastAsia" w:ascii="方正仿宋_GBK" w:hAnsi="仿宋_GB2312" w:cs="仿宋_GB2312"/>
          <w:color w:val="000000"/>
          <w:lang w:eastAsia="zh-CN"/>
        </w:rPr>
        <w:t>截至</w:t>
      </w:r>
      <w:r>
        <w:rPr>
          <w:rFonts w:hint="eastAsia" w:ascii="方正仿宋_GBK" w:hAnsi="仿宋_GB2312" w:cs="仿宋_GB2312"/>
          <w:color w:val="000000"/>
        </w:rPr>
        <w:t>2025年12月，所属各预算单位车辆共有1辆，其中机要通信用车0辆、应急保障用车1辆。2026年一般公共预算未安排购置车辆。</w:t>
      </w:r>
    </w:p>
    <w:p w14:paraId="7E146E79">
      <w:pPr>
        <w:spacing w:line="600" w:lineRule="exact"/>
        <w:ind w:firstLine="640" w:firstLineChars="200"/>
        <w:rPr>
          <w:rFonts w:ascii="方正仿宋_GBK" w:hAnsi="仿宋_GB2312" w:cs="仿宋_GB2312"/>
        </w:rPr>
      </w:pPr>
      <w:r>
        <w:rPr>
          <w:rFonts w:hint="eastAsia" w:ascii="方正仿宋_GBK" w:hAnsi="仿宋_GB2312" w:cs="仿宋_GB2312"/>
        </w:rPr>
        <w:t>（五）委托业务费情况。2026年委托业务费涉及财拨资金9.32万元，主要用于政府采购等支出。</w:t>
      </w:r>
    </w:p>
    <w:p w14:paraId="4E625BC9">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六</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专业性名词解释</w:t>
      </w:r>
    </w:p>
    <w:p w14:paraId="7806ADA4">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（一）财政拨款收入：指本年度从本级财政部门取得的财政拨款，包括一般公共预算财政拨款和政府性基金预算财政拨款。</w:t>
      </w:r>
    </w:p>
    <w:p w14:paraId="2CA74916">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（二）财政专户管理资金收入：指缴入财政专户、实行专项管理的高中以上学费、住宿费、高校委托培养费、函大、电大、夜大及短训班培训费等教育收费。单位根据教育收费标准、学生人数等合理预计。</w:t>
      </w:r>
    </w:p>
    <w:p w14:paraId="4687F447">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（三）事业收入（不含教育收费）：指事业单位开展专业业务活动及其辅助活动取得的收入，不包括教育收费。单位根据本年度事业单位开展专业业务活动及其辅助活动计划，结合上年度收入等情况进行预计。</w:t>
      </w:r>
    </w:p>
    <w:p w14:paraId="7DB0FB41">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（四）上级补助收入：指从主管部门或上级单位取得的财政拨款以外的其他补助收入。单位结合上年度上级补助收入等情况进行预计。</w:t>
      </w:r>
    </w:p>
    <w:p w14:paraId="5D39743B">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19C04ADC">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75641022">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（七）其他收入：指债务收入、投资收益等收入，单位根据情况合理预计，全部编入预算。</w:t>
      </w:r>
    </w:p>
    <w:p w14:paraId="55398C6E">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ACCC5E7">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A9CDBA2">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（十）项目支出：指在基本支出之外为完成特定行政任务和事业发展目标所发生的支出。</w:t>
      </w:r>
    </w:p>
    <w:p w14:paraId="5EEA5814">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581877">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5D594269">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（十三）工资福利支出（支出经济分类科目类级）：反映单位开支的在职职工和编制外长期聘用人员的各类劳动报酬，以及为上述人员缴纳的各项社会保险费等。</w:t>
      </w:r>
    </w:p>
    <w:p w14:paraId="5F59CCCE">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（十四）商品和服务支出（支出经济分类科目类级）：反映单位购买商品和服务的支出（不包括用于购置固定资产的支出、战略性和应急储备支出）。</w:t>
      </w:r>
    </w:p>
    <w:p w14:paraId="7CA890FB">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（十五）对个人和家庭的补助（支出经济分类科目类级）：反映用于对个人和家庭的补助支出。</w:t>
      </w:r>
    </w:p>
    <w:p w14:paraId="0FA3A772">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4FEA8939">
      <w:pPr>
        <w:ind w:firstLine="640" w:firstLineChars="200"/>
        <w:rPr>
          <w:rFonts w:ascii="方正仿宋_GBK" w:hAnsi="仿宋_GB2312" w:cs="仿宋_GB2312"/>
          <w:color w:val="000000" w:themeColor="text1"/>
        </w:rPr>
      </w:pPr>
    </w:p>
    <w:p w14:paraId="5E4A6454">
      <w:pPr>
        <w:rPr>
          <w:rFonts w:ascii="方正仿宋_GBK"/>
          <w:szCs w:val="32"/>
        </w:rPr>
      </w:pPr>
      <w:r>
        <w:rPr>
          <w:rFonts w:hint="eastAsia" w:ascii="方正仿宋_GBK"/>
          <w:szCs w:val="32"/>
        </w:rPr>
        <w:t>部门预算公开联系人：戚茂娇，联系方式：023-65765797</w:t>
      </w:r>
    </w:p>
    <w:p w14:paraId="4816D81A"/>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B675C6-FA38-4923-AF00-8FCFFD30AB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1E1C75C-6FD1-4263-AF59-FE6C8D087921}"/>
  </w:font>
  <w:font w:name="方正仿宋_GBK">
    <w:panose1 w:val="03000509000000000000"/>
    <w:charset w:val="86"/>
    <w:family w:val="script"/>
    <w:pitch w:val="default"/>
    <w:sig w:usb0="00000001" w:usb1="080E0000" w:usb2="00000000" w:usb3="00000000" w:csb0="00040000" w:csb1="00000000"/>
    <w:embedRegular r:id="rId3" w:fontKey="{6718106C-A548-4949-A0CA-A8765A9C316D}"/>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E69E22D7-9985-4640-914D-914FEE7FFCC7}"/>
  </w:font>
  <w:font w:name="华文中宋">
    <w:altName w:val="宋体"/>
    <w:panose1 w:val="02010600040101010101"/>
    <w:charset w:val="86"/>
    <w:family w:val="auto"/>
    <w:pitch w:val="default"/>
    <w:sig w:usb0="00000000" w:usb1="00000000" w:usb2="00000010" w:usb3="00000000" w:csb0="0004009F" w:csb1="00000000"/>
    <w:embedRegular r:id="rId5" w:fontKey="{036AE6F4-EDD7-48CA-B5EE-625DCE939E08}"/>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6" w:fontKey="{A33DBE06-BAC3-451F-888F-7C8663F14F66}"/>
  </w:font>
  <w:font w:name="仿宋_GB2312">
    <w:altName w:val="仿宋"/>
    <w:panose1 w:val="00000000000000000000"/>
    <w:charset w:val="86"/>
    <w:family w:val="modern"/>
    <w:pitch w:val="default"/>
    <w:sig w:usb0="00000000" w:usb1="00000000" w:usb2="00000010" w:usb3="00000000" w:csb0="00040000" w:csb1="00000000"/>
    <w:embedRegular r:id="rId7" w:fontKey="{273079AF-3728-476C-874D-85183E1ADCBC}"/>
  </w:font>
  <w:font w:name="方正楷体_GBK">
    <w:panose1 w:val="02000000000000000000"/>
    <w:charset w:val="86"/>
    <w:family w:val="script"/>
    <w:pitch w:val="default"/>
    <w:sig w:usb0="800002BF" w:usb1="38CF7CFA" w:usb2="00000016" w:usb3="00000000" w:csb0="00040000" w:csb1="00000000"/>
    <w:embedRegular r:id="rId8" w:fontKey="{058295CA-202C-4562-BAF4-7168648E87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44E9A">
    <w:pPr>
      <w:pStyle w:val="2"/>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4D4CE10">
                <w:pPr>
                  <w:pStyle w:val="2"/>
                </w:pPr>
                <w:r>
                  <w:rPr>
                    <w:rFonts w:hint="eastAsia" w:ascii="方正仿宋_GBK" w:hAnsi="方正仿宋_GBK" w:cs="方正仿宋_GBK"/>
                    <w:sz w:val="32"/>
                    <w:szCs w:val="32"/>
                  </w:rPr>
                  <w:fldChar w:fldCharType="begin"/>
                </w:r>
                <w:r>
                  <w:rPr>
                    <w:rFonts w:hint="eastAsia" w:ascii="方正仿宋_GBK" w:hAnsi="方正仿宋_GBK" w:cs="方正仿宋_GBK"/>
                    <w:sz w:val="32"/>
                    <w:szCs w:val="32"/>
                  </w:rPr>
                  <w:instrText xml:space="preserve"> PAGE  \* MERGEFORMAT </w:instrText>
                </w:r>
                <w:r>
                  <w:rPr>
                    <w:rFonts w:hint="eastAsia" w:ascii="方正仿宋_GBK" w:hAnsi="方正仿宋_GBK" w:cs="方正仿宋_GBK"/>
                    <w:sz w:val="32"/>
                    <w:szCs w:val="32"/>
                  </w:rPr>
                  <w:fldChar w:fldCharType="separate"/>
                </w:r>
                <w:r>
                  <w:rPr>
                    <w:rFonts w:ascii="方正仿宋_GBK" w:hAnsi="方正仿宋_GBK" w:cs="方正仿宋_GBK"/>
                    <w:sz w:val="32"/>
                    <w:szCs w:val="32"/>
                  </w:rPr>
                  <w:t>- 6 -</w:t>
                </w:r>
                <w:r>
                  <w:rPr>
                    <w:rFonts w:hint="eastAsia" w:ascii="方正仿宋_GBK" w:hAnsi="方正仿宋_GBK" w:cs="方正仿宋_GBK"/>
                    <w:sz w:val="32"/>
                    <w:szCs w:val="32"/>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471A2"/>
    <w:rsid w:val="001E51D4"/>
    <w:rsid w:val="00312421"/>
    <w:rsid w:val="005B6F56"/>
    <w:rsid w:val="00702FA3"/>
    <w:rsid w:val="008077E4"/>
    <w:rsid w:val="009D2257"/>
    <w:rsid w:val="009D47E5"/>
    <w:rsid w:val="00AA7B8E"/>
    <w:rsid w:val="00AB370D"/>
    <w:rsid w:val="00F471A2"/>
    <w:rsid w:val="00FD11A6"/>
    <w:rsid w:val="01DC6F3A"/>
    <w:rsid w:val="04667978"/>
    <w:rsid w:val="0707209E"/>
    <w:rsid w:val="096F621C"/>
    <w:rsid w:val="09EE7810"/>
    <w:rsid w:val="0A761798"/>
    <w:rsid w:val="0D4170AE"/>
    <w:rsid w:val="15D4A23F"/>
    <w:rsid w:val="17D940CB"/>
    <w:rsid w:val="19831E6C"/>
    <w:rsid w:val="19B9111F"/>
    <w:rsid w:val="1ADF0CC8"/>
    <w:rsid w:val="1B4B785C"/>
    <w:rsid w:val="21257BE1"/>
    <w:rsid w:val="241C6E07"/>
    <w:rsid w:val="2B59AB0B"/>
    <w:rsid w:val="2D0578E5"/>
    <w:rsid w:val="33FF80E4"/>
    <w:rsid w:val="344E7C6B"/>
    <w:rsid w:val="39750D3E"/>
    <w:rsid w:val="3F3B3618"/>
    <w:rsid w:val="42860DA7"/>
    <w:rsid w:val="4D5FCD42"/>
    <w:rsid w:val="4F7D6304"/>
    <w:rsid w:val="500A7D66"/>
    <w:rsid w:val="586B6A4E"/>
    <w:rsid w:val="5B843FD6"/>
    <w:rsid w:val="6BFF778B"/>
    <w:rsid w:val="6E886FF6"/>
    <w:rsid w:val="77954C5D"/>
    <w:rsid w:val="7B5E5DE9"/>
    <w:rsid w:val="7DBF145B"/>
    <w:rsid w:val="7FF600BA"/>
    <w:rsid w:val="9F76300B"/>
    <w:rsid w:val="A77F2D4D"/>
    <w:rsid w:val="B6BD3746"/>
    <w:rsid w:val="BC7B520F"/>
    <w:rsid w:val="BDE8B9D1"/>
    <w:rsid w:val="BEB5B71D"/>
    <w:rsid w:val="D99FAAB6"/>
    <w:rsid w:val="DFCF62E9"/>
    <w:rsid w:val="DFE70B47"/>
    <w:rsid w:val="E6EFED6A"/>
    <w:rsid w:val="E7F2FF03"/>
    <w:rsid w:val="EE67EE9B"/>
    <w:rsid w:val="EEEBC541"/>
    <w:rsid w:val="EEFF8F3D"/>
    <w:rsid w:val="EFC745CF"/>
    <w:rsid w:val="EFF99BE2"/>
    <w:rsid w:val="FBD79A43"/>
    <w:rsid w:val="FBDF1D0E"/>
    <w:rsid w:val="FFEB41B9"/>
    <w:rsid w:val="FFEF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paragraph" w:styleId="7">
    <w:name w:val="List Paragraph"/>
    <w:basedOn w:val="1"/>
    <w:qFormat/>
    <w:uiPriority w:val="34"/>
    <w:pPr>
      <w:ind w:firstLine="420" w:firstLineChars="200"/>
    </w:pPr>
    <w:rPr>
      <w:rFonts w:ascii="仿宋" w:hAnsi="仿宋" w:eastAsia="仿宋"/>
      <w:sz w:val="28"/>
      <w:szCs w:val="22"/>
    </w:rPr>
  </w:style>
  <w:style w:type="paragraph" w:customStyle="1" w:styleId="8">
    <w:name w:val="正文-公1"/>
    <w:basedOn w:val="9"/>
    <w:next w:val="1"/>
    <w:qFormat/>
    <w:uiPriority w:val="0"/>
    <w:pPr>
      <w:ind w:firstLine="200" w:firstLine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2581</Words>
  <Characters>2727</Characters>
  <Lines>19</Lines>
  <Paragraphs>5</Paragraphs>
  <TotalTime>1</TotalTime>
  <ScaleCrop>false</ScaleCrop>
  <LinksUpToDate>false</LinksUpToDate>
  <CharactersWithSpaces>2727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2022-04-24T07:33:00Z</dcterms:created>
  <dc:creator>Administrator</dc:creator>
  <cp:lastModifiedBy>silence</cp:lastModifiedBy>
  <cp:lastPrinted>2023-04-23T03:42:00Z</cp:lastPrinted>
  <dcterms:modified xsi:type="dcterms:W3CDTF">2026-07-06T09:16:30Z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E280C5447EE24D77947733642780972E</vt:lpwstr>
  </property>
  <property fmtid="{D5CDD505-2E9C-101B-9397-08002B2CF9AE}" pid="4" name="KSOTemplateDocerSaveRecord">
    <vt:lpwstr>eyJoZGlkIjoiZjRmYWUxOWJhMWE5OGFmZGQyNzA0NjBkZTNhOGRjMDEiLCJ1c2VySWQiOiIyNDg4ODMzNzUifQ==</vt:lpwstr>
  </property>
</Properties>
</file>