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70B9B">
      <w:pPr>
        <w:spacing w:line="600" w:lineRule="exact"/>
        <w:jc w:val="center"/>
        <w:rPr>
          <w:rFonts w:hint="eastAsia" w:ascii="方正小标宋_GBK" w:hAnsi="华文中宋" w:eastAsia="方正小标宋_GBK" w:cs="华文中宋"/>
          <w:sz w:val="44"/>
          <w:szCs w:val="44"/>
        </w:rPr>
      </w:pPr>
      <w:r>
        <w:rPr>
          <w:rFonts w:hint="eastAsia" w:ascii="方正小标宋_GBK" w:hAnsi="华文中宋" w:eastAsia="方正小标宋_GBK" w:cs="华文中宋"/>
          <w:sz w:val="44"/>
          <w:szCs w:val="44"/>
        </w:rPr>
        <w:t>石板镇村居事务服务中心</w:t>
      </w:r>
    </w:p>
    <w:p w14:paraId="0BA4D1C4">
      <w:pPr>
        <w:spacing w:line="600" w:lineRule="exact"/>
        <w:jc w:val="center"/>
        <w:rPr>
          <w:rFonts w:ascii="方正小标宋_GBK" w:hAnsi="华文中宋" w:eastAsia="方正小标宋_GBK" w:cs="华文中宋"/>
          <w:sz w:val="44"/>
          <w:szCs w:val="44"/>
        </w:rPr>
      </w:pPr>
      <w:r>
        <w:rPr>
          <w:rFonts w:hint="eastAsia" w:ascii="方正小标宋_GBK" w:hAnsi="华文中宋" w:eastAsia="方正小标宋_GBK" w:cs="华文中宋"/>
          <w:sz w:val="44"/>
          <w:szCs w:val="44"/>
        </w:rPr>
        <w:t>2026年预算公开情况说明</w:t>
      </w:r>
    </w:p>
    <w:p w14:paraId="06337EFA">
      <w:pPr>
        <w:spacing w:line="600" w:lineRule="exact"/>
        <w:ind w:firstLine="880" w:firstLineChars="200"/>
        <w:jc w:val="center"/>
        <w:rPr>
          <w:rFonts w:ascii="华文中宋" w:hAnsi="华文中宋" w:eastAsia="华文中宋" w:cs="华文中宋"/>
          <w:sz w:val="44"/>
          <w:szCs w:val="44"/>
        </w:rPr>
      </w:pPr>
    </w:p>
    <w:p w14:paraId="1C05B64D">
      <w:pPr>
        <w:spacing w:line="600" w:lineRule="exact"/>
        <w:ind w:firstLine="640" w:firstLineChars="200"/>
        <w:rPr>
          <w:rFonts w:ascii="方正黑体_GBK" w:hAnsi="黑体" w:eastAsia="方正黑体_GBK" w:cs="仿宋_GB2312"/>
        </w:rPr>
      </w:pPr>
      <w:r>
        <w:rPr>
          <w:rFonts w:hint="eastAsia" w:ascii="方正黑体_GBK" w:hAnsi="黑体" w:eastAsia="方正黑体_GBK" w:cs="仿宋_GB2312"/>
        </w:rPr>
        <w:t>一、单位基本情况</w:t>
      </w:r>
    </w:p>
    <w:p w14:paraId="56FC0C63">
      <w:pPr>
        <w:spacing w:line="600" w:lineRule="exact"/>
        <w:ind w:firstLine="640" w:firstLineChars="200"/>
        <w:rPr>
          <w:rFonts w:ascii="方正楷体_GBK" w:hAnsi="仿宋_GB2312" w:eastAsia="方正楷体_GBK" w:cs="仿宋_GB2312"/>
          <w:color w:val="000000"/>
          <w:szCs w:val="22"/>
        </w:rPr>
      </w:pPr>
      <w:r>
        <w:rPr>
          <w:rFonts w:hint="eastAsia" w:ascii="方正楷体_GBK" w:hAnsi="仿宋_GB2312" w:eastAsia="方正楷体_GBK" w:cs="仿宋_GB2312"/>
          <w:color w:val="000000"/>
          <w:szCs w:val="22"/>
        </w:rPr>
        <w:t>（一）职能职责</w:t>
      </w:r>
    </w:p>
    <w:p w14:paraId="66E3001A">
      <w:pPr>
        <w:spacing w:line="600" w:lineRule="exact"/>
        <w:ind w:firstLine="640" w:firstLineChars="200"/>
        <w:rPr>
          <w:rFonts w:ascii="方正仿宋_GBK" w:hAnsi="方正仿宋_GBK" w:cs="方正仿宋_GBK"/>
          <w:color w:val="000000"/>
          <w:szCs w:val="32"/>
        </w:rPr>
      </w:pPr>
      <w:r>
        <w:rPr>
          <w:rFonts w:hint="eastAsia" w:ascii="方正仿宋_GBK" w:hAnsi="方正仿宋_GBK" w:cs="方正仿宋_GBK"/>
          <w:color w:val="000000"/>
          <w:szCs w:val="32"/>
        </w:rPr>
        <w:t>石板镇村居事务服务中心职能职责主要为负责村镇规划、建设和实施的具体事务</w:t>
      </w:r>
      <w:bookmarkStart w:id="0" w:name="_GoBack"/>
      <w:bookmarkEnd w:id="0"/>
      <w:r>
        <w:rPr>
          <w:rFonts w:hint="eastAsia" w:ascii="方正仿宋_GBK" w:hAnsi="方正仿宋_GBK" w:cs="方正仿宋_GBK"/>
          <w:color w:val="000000"/>
          <w:szCs w:val="32"/>
        </w:rPr>
        <w:t>性工作，负责生态环境宣传教育、污染防治、水资源节约保护、环境整治等相关事务性工作，负责市政公用、市容环卫等事务性工作。</w:t>
      </w:r>
    </w:p>
    <w:p w14:paraId="3EB24853">
      <w:pPr>
        <w:spacing w:line="600" w:lineRule="exact"/>
        <w:ind w:firstLine="640" w:firstLineChars="200"/>
        <w:rPr>
          <w:rFonts w:ascii="方正楷体_GBK" w:hAnsi="仿宋_GB2312" w:eastAsia="方正楷体_GBK" w:cs="仿宋_GB2312"/>
          <w:color w:val="000000"/>
          <w:szCs w:val="22"/>
        </w:rPr>
      </w:pPr>
      <w:r>
        <w:rPr>
          <w:rFonts w:hint="eastAsia" w:ascii="方正楷体_GBK" w:hAnsi="仿宋_GB2312" w:eastAsia="方正楷体_GBK" w:cs="仿宋_GB2312"/>
          <w:color w:val="000000"/>
          <w:szCs w:val="22"/>
        </w:rPr>
        <w:t>（二）单位构成</w:t>
      </w:r>
    </w:p>
    <w:p w14:paraId="61EE2A28">
      <w:pPr>
        <w:spacing w:line="600" w:lineRule="exact"/>
        <w:ind w:firstLine="640" w:firstLineChars="200"/>
        <w:rPr>
          <w:rFonts w:ascii="方正仿宋_GBK" w:hAnsi="仿宋_GB2312" w:cs="仿宋_GB2312"/>
        </w:rPr>
      </w:pPr>
      <w:r>
        <w:rPr>
          <w:rFonts w:hint="eastAsia" w:ascii="方正仿宋_GBK" w:hAnsi="仿宋_GB2312" w:cs="仿宋_GB2312"/>
        </w:rPr>
        <w:t>本单位未设置内部机构。</w:t>
      </w:r>
    </w:p>
    <w:p w14:paraId="78AC4240">
      <w:pPr>
        <w:spacing w:line="600" w:lineRule="exact"/>
        <w:ind w:firstLine="640" w:firstLineChars="200"/>
        <w:rPr>
          <w:rFonts w:ascii="方正黑体_GBK" w:hAnsi="黑体" w:eastAsia="方正黑体_GBK" w:cs="仿宋_GB2312"/>
          <w:color w:val="000000" w:themeColor="text1"/>
        </w:rPr>
      </w:pPr>
      <w:r>
        <w:rPr>
          <w:rFonts w:hint="eastAsia" w:ascii="方正黑体_GBK" w:hAnsi="黑体" w:eastAsia="方正黑体_GBK" w:cs="仿宋_GB2312"/>
          <w:color w:val="000000" w:themeColor="text1"/>
        </w:rPr>
        <w:t>二、单位收支总体情况</w:t>
      </w:r>
    </w:p>
    <w:p w14:paraId="357A01E8">
      <w:pPr>
        <w:spacing w:line="600" w:lineRule="exact"/>
        <w:ind w:firstLine="640" w:firstLineChars="200"/>
        <w:rPr>
          <w:rFonts w:ascii="方正仿宋_GBK" w:hAnsi="仿宋_GB2312" w:cs="仿宋_GB2312"/>
          <w:color w:val="000000" w:themeColor="text1"/>
        </w:rPr>
      </w:pPr>
      <w:r>
        <w:rPr>
          <w:rFonts w:hint="eastAsia" w:ascii="方正楷体_GBK" w:hAnsi="方正楷体_GBK" w:eastAsia="方正楷体_GBK" w:cs="方正楷体_GBK"/>
          <w:color w:val="000000" w:themeColor="text1"/>
          <w:szCs w:val="22"/>
        </w:rPr>
        <w:t>（一）收入预算：</w:t>
      </w:r>
      <w:r>
        <w:rPr>
          <w:rFonts w:hint="eastAsia" w:ascii="方正仿宋_GBK" w:hAnsi="仿宋_GB2312" w:cs="仿宋_GB2312"/>
          <w:color w:val="000000" w:themeColor="text1"/>
        </w:rPr>
        <w:t>2026年年初预算数78.42万元，其中：一般公共预算拨款78.42万元，政府性基金预算拨款0万元，国有资本经营预算收入0万元，事业收入0万元，事业单位经营收入0万元，其他收入0万元。收入较2025年减少28.92万元，主要是一般公共预算经费拨款减少28.92万元。</w:t>
      </w:r>
    </w:p>
    <w:p w14:paraId="1E0BB2FE">
      <w:pPr>
        <w:spacing w:line="600" w:lineRule="exact"/>
        <w:ind w:firstLine="640" w:firstLineChars="200"/>
        <w:rPr>
          <w:rFonts w:ascii="方正仿宋_GBK" w:hAnsi="仿宋_GB2312" w:cs="仿宋_GB2312"/>
          <w:color w:val="000000" w:themeColor="text1"/>
        </w:rPr>
      </w:pPr>
      <w:r>
        <w:rPr>
          <w:rFonts w:hint="eastAsia" w:ascii="方正楷体_GBK" w:hAnsi="方正楷体_GBK" w:eastAsia="方正楷体_GBK" w:cs="方正楷体_GBK"/>
          <w:color w:val="000000" w:themeColor="text1"/>
          <w:szCs w:val="22"/>
        </w:rPr>
        <w:t>（二）支出预算：</w:t>
      </w:r>
      <w:r>
        <w:rPr>
          <w:rFonts w:hint="eastAsia" w:ascii="方正仿宋_GBK" w:hAnsi="仿宋_GB2312" w:cs="仿宋_GB2312"/>
          <w:color w:val="000000" w:themeColor="text1"/>
        </w:rPr>
        <w:t>2026年年初预算数78.42万元，其中：一般公共服务支出预算0万元，教育支出预算0万元，社会保障和就业支出预算13.51万元，卫生健康支出预算3.8万元，城乡社区支出预算57.67万元，住房保障支出预算3.45万元。支出预算较2025年减少28.92万元，主要是基本支出预算增加4.11万元，项目支出预算减少33.03万元。</w:t>
      </w:r>
    </w:p>
    <w:p w14:paraId="187C0F82">
      <w:pPr>
        <w:spacing w:line="600" w:lineRule="exact"/>
        <w:ind w:firstLine="640" w:firstLineChars="200"/>
        <w:rPr>
          <w:rFonts w:ascii="方正仿宋_GBK" w:hAnsi="黑体" w:cs="仿宋_GB2312"/>
          <w:color w:val="000000" w:themeColor="text1"/>
        </w:rPr>
      </w:pPr>
      <w:r>
        <w:rPr>
          <w:rFonts w:hint="eastAsia" w:ascii="方正黑体_GBK" w:hAnsi="黑体" w:eastAsia="方正黑体_GBK" w:cs="仿宋_GB2312"/>
          <w:color w:val="000000" w:themeColor="text1"/>
        </w:rPr>
        <w:t>三</w:t>
      </w:r>
      <w:r>
        <w:rPr>
          <w:rFonts w:ascii="方正黑体_GBK" w:hAnsi="黑体" w:eastAsia="方正黑体_GBK" w:cs="仿宋_GB2312"/>
          <w:color w:val="000000" w:themeColor="text1"/>
        </w:rPr>
        <w:t>、</w:t>
      </w:r>
      <w:r>
        <w:rPr>
          <w:rFonts w:hint="eastAsia" w:ascii="方正黑体_GBK" w:hAnsi="黑体" w:eastAsia="方正黑体_GBK" w:cs="仿宋_GB2312"/>
          <w:color w:val="000000" w:themeColor="text1"/>
        </w:rPr>
        <w:t>单位预算情况说明</w:t>
      </w:r>
    </w:p>
    <w:p w14:paraId="1DF54273">
      <w:pPr>
        <w:spacing w:line="600" w:lineRule="exact"/>
        <w:ind w:firstLine="640" w:firstLineChars="200"/>
        <w:rPr>
          <w:rFonts w:ascii="方正仿宋_GBK" w:hAnsi="仿宋_GB2312" w:cs="仿宋_GB2312"/>
          <w:color w:val="000000" w:themeColor="text1"/>
        </w:rPr>
      </w:pPr>
      <w:r>
        <w:rPr>
          <w:rFonts w:hint="eastAsia" w:ascii="方正仿宋_GBK" w:hAnsi="仿宋_GB2312" w:cs="仿宋_GB2312"/>
          <w:color w:val="000000" w:themeColor="text1"/>
        </w:rPr>
        <w:t>2026年一般公共预算财政拨款收入78.42万元，一般公共预算财政拨款支出78.42万元，比2025年减少28.92万元。其中：基本支出78.42万元，比2025年增加4.11万元，</w:t>
      </w:r>
      <w:r>
        <w:rPr>
          <w:rFonts w:hint="eastAsia" w:ascii="方正仿宋_GBK" w:hAnsi="仿宋_GB2312" w:cs="仿宋_GB2312"/>
          <w:color w:val="000000"/>
        </w:rPr>
        <w:t>主要原因是机构改革调整，单位编制人数增加，主要用于保</w:t>
      </w:r>
      <w:r>
        <w:rPr>
          <w:rFonts w:ascii="方正仿宋_GBK" w:hAnsi="仿宋_GB2312" w:cs="仿宋_GB2312"/>
          <w:color w:val="000000"/>
        </w:rPr>
        <w:t>障</w:t>
      </w:r>
      <w:r>
        <w:rPr>
          <w:rFonts w:hint="eastAsia" w:ascii="方正仿宋_GBK" w:hAnsi="仿宋_GB2312" w:cs="仿宋_GB2312"/>
          <w:color w:val="000000"/>
        </w:rPr>
        <w:t>部门</w:t>
      </w:r>
      <w:r>
        <w:rPr>
          <w:rFonts w:hint="eastAsia" w:ascii="方正仿宋_GBK" w:hAnsi="仿宋_GB2312" w:cs="仿宋_GB2312"/>
          <w:color w:val="000000" w:themeColor="text1"/>
        </w:rPr>
        <w:t>在职人员工资福利及社会保险缴费，</w:t>
      </w:r>
      <w:r>
        <w:rPr>
          <w:rFonts w:ascii="方正仿宋_GBK" w:hAnsi="仿宋_GB2312" w:cs="仿宋_GB2312"/>
          <w:color w:val="000000" w:themeColor="text1"/>
        </w:rPr>
        <w:t>退休人员</w:t>
      </w:r>
      <w:r>
        <w:rPr>
          <w:rFonts w:hint="eastAsia" w:ascii="方正仿宋_GBK" w:hAnsi="仿宋_GB2312" w:cs="仿宋_GB2312"/>
          <w:color w:val="000000" w:themeColor="text1"/>
        </w:rPr>
        <w:t>补助等，保障部门正常运转的各项商品服务支出；项目支出0万元，比2025年减少33.03万元，主要原因是该事业单位中有部分预算项目设置到了政府（本级）中，主要用于民政支出等重点工作。</w:t>
      </w:r>
    </w:p>
    <w:p w14:paraId="73678D6E">
      <w:pPr>
        <w:spacing w:line="600" w:lineRule="exact"/>
        <w:ind w:firstLine="640" w:firstLineChars="200"/>
        <w:rPr>
          <w:rFonts w:ascii="方正仿宋_GBK" w:hAnsi="仿宋_GB2312" w:cs="仿宋_GB2312"/>
          <w:color w:val="000000" w:themeColor="text1"/>
        </w:rPr>
      </w:pPr>
      <w:r>
        <w:rPr>
          <w:rFonts w:hint="eastAsia" w:ascii="方正仿宋_GBK" w:hAnsi="仿宋_GB2312" w:cs="仿宋_GB2312"/>
          <w:color w:val="000000" w:themeColor="text1"/>
        </w:rPr>
        <w:t>石板镇村居事务服务中心2026年无使用政府性基金预算拨款安排的支出。</w:t>
      </w:r>
    </w:p>
    <w:p w14:paraId="289AE7FC">
      <w:pPr>
        <w:spacing w:line="600" w:lineRule="exact"/>
        <w:ind w:firstLine="640" w:firstLineChars="200"/>
        <w:rPr>
          <w:rFonts w:ascii="方正仿宋_GBK" w:hAnsi="黑体" w:cs="仿宋_GB2312"/>
          <w:color w:val="000000" w:themeColor="text1"/>
        </w:rPr>
      </w:pPr>
      <w:r>
        <w:rPr>
          <w:rFonts w:hint="eastAsia" w:ascii="方正黑体_GBK" w:hAnsi="黑体" w:eastAsia="方正黑体_GBK" w:cs="仿宋_GB2312"/>
          <w:color w:val="000000" w:themeColor="text1"/>
        </w:rPr>
        <w:t>四</w:t>
      </w:r>
      <w:r>
        <w:rPr>
          <w:rFonts w:ascii="方正黑体_GBK" w:hAnsi="黑体" w:eastAsia="方正黑体_GBK" w:cs="仿宋_GB2312"/>
          <w:color w:val="000000" w:themeColor="text1"/>
        </w:rPr>
        <w:t>、</w:t>
      </w:r>
      <w:r>
        <w:rPr>
          <w:rFonts w:hint="eastAsia" w:ascii="方正黑体_GBK" w:hAnsi="黑体" w:eastAsia="方正黑体_GBK" w:cs="仿宋_GB2312"/>
          <w:color w:val="000000" w:themeColor="text1"/>
        </w:rPr>
        <w:t>“三公”经费情况说明</w:t>
      </w:r>
    </w:p>
    <w:p w14:paraId="7C62C101">
      <w:pPr>
        <w:spacing w:line="600" w:lineRule="exact"/>
        <w:ind w:firstLine="600"/>
        <w:rPr>
          <w:rFonts w:ascii="方正仿宋_GBK" w:hAnsi="仿宋_GB2312" w:cs="仿宋_GB2312"/>
          <w:color w:val="000000" w:themeColor="text1"/>
        </w:rPr>
      </w:pPr>
      <w:r>
        <w:rPr>
          <w:rFonts w:hint="eastAsia" w:ascii="方正仿宋_GBK" w:hAnsi="仿宋_GB2312" w:cs="仿宋_GB2312"/>
          <w:color w:val="000000" w:themeColor="text1"/>
        </w:rPr>
        <w:t>2026年“三公”经费预算0万元，比2025年增加0万元。其中：因公出国（境）费用0万元，比2025年增加0万元；公务接待费0万元，比2025年增加0万元；公务用车运行维护费0万元，比2025年增加0万元；公务用车购置费0万元，比2025年增加0万元。</w:t>
      </w:r>
    </w:p>
    <w:p w14:paraId="4F3FC010">
      <w:pPr>
        <w:spacing w:line="600" w:lineRule="exact"/>
        <w:ind w:firstLine="640" w:firstLineChars="200"/>
        <w:rPr>
          <w:rFonts w:ascii="方正黑体_GBK" w:hAnsi="黑体" w:eastAsia="方正黑体_GBK" w:cs="仿宋_GB2312"/>
          <w:color w:val="000000" w:themeColor="text1"/>
        </w:rPr>
      </w:pPr>
      <w:r>
        <w:rPr>
          <w:rFonts w:hint="eastAsia" w:ascii="方正黑体_GBK" w:hAnsi="黑体" w:eastAsia="方正黑体_GBK" w:cs="仿宋_GB2312"/>
          <w:color w:val="000000" w:themeColor="text1"/>
        </w:rPr>
        <w:t>五、其他重要事项的情况说明</w:t>
      </w:r>
    </w:p>
    <w:p w14:paraId="742D6497">
      <w:pPr>
        <w:spacing w:line="600" w:lineRule="exact"/>
        <w:ind w:firstLine="640" w:firstLineChars="200"/>
        <w:rPr>
          <w:rFonts w:ascii="方正仿宋_GBK" w:hAnsi="仿宋_GB2312" w:cs="仿宋_GB2312"/>
          <w:color w:val="000000" w:themeColor="text1"/>
        </w:rPr>
      </w:pPr>
      <w:r>
        <w:rPr>
          <w:rFonts w:hint="eastAsia" w:ascii="方正仿宋_GBK" w:hAnsi="仿宋_GB2312" w:cs="仿宋_GB2312"/>
          <w:bCs/>
          <w:color w:val="000000" w:themeColor="text1"/>
        </w:rPr>
        <w:t>（一）机关运行经费。</w:t>
      </w:r>
      <w:r>
        <w:rPr>
          <w:rFonts w:hint="eastAsia" w:ascii="方正仿宋_GBK" w:hAnsi="仿宋_GB2312" w:cs="仿宋_GB2312"/>
          <w:color w:val="000000" w:themeColor="text1"/>
        </w:rPr>
        <w:t>我单位不在机关运行经费统计范围之内。</w:t>
      </w:r>
    </w:p>
    <w:p w14:paraId="2D824251">
      <w:pPr>
        <w:spacing w:line="600" w:lineRule="exact"/>
        <w:ind w:firstLine="640" w:firstLineChars="200"/>
        <w:rPr>
          <w:rFonts w:ascii="方正仿宋_GBK" w:hAnsi="仿宋_GB2312" w:cs="仿宋_GB2312"/>
          <w:color w:val="000000" w:themeColor="text1"/>
        </w:rPr>
      </w:pPr>
      <w:r>
        <w:rPr>
          <w:rFonts w:hint="eastAsia" w:ascii="方正仿宋_GBK" w:hAnsi="仿宋_GB2312" w:cs="仿宋_GB2312"/>
          <w:color w:val="000000" w:themeColor="text1"/>
        </w:rPr>
        <w:t>（二）政府采购情况。本单位无政府采购预算。</w:t>
      </w:r>
    </w:p>
    <w:p w14:paraId="189DCCA4">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（三）绩效目标设置情况。</w:t>
      </w:r>
      <w:r>
        <w:rPr>
          <w:rFonts w:hint="eastAsia" w:ascii="方正仿宋_GBK" w:hAnsi="仿宋_GB2312" w:cs="仿宋_GB2312"/>
        </w:rPr>
        <w:t>2026年项目支出均实行了绩效目标管理，涉及一般公共预算当年财政拨款0万元。</w:t>
      </w:r>
    </w:p>
    <w:p w14:paraId="43F41FF0">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（四）国有资产占有使用情况。</w:t>
      </w:r>
      <w:r>
        <w:rPr>
          <w:rFonts w:hint="eastAsia" w:ascii="方正仿宋_GBK" w:hAnsi="仿宋_GB2312" w:cs="仿宋_GB2312"/>
          <w:color w:val="0D0D0D"/>
          <w:lang w:eastAsia="zh-CN"/>
        </w:rPr>
        <w:t>截至</w:t>
      </w:r>
      <w:r>
        <w:rPr>
          <w:rFonts w:hint="eastAsia" w:ascii="方正仿宋_GBK" w:hAnsi="仿宋_GB2312" w:cs="仿宋_GB2312"/>
          <w:color w:val="0D0D0D"/>
        </w:rPr>
        <w:t>2025年12月，所属各预算单位无车辆。2026年一般公共预算未安排购置车辆。</w:t>
      </w:r>
    </w:p>
    <w:p w14:paraId="40F0F8E3">
      <w:pPr>
        <w:spacing w:line="600" w:lineRule="exact"/>
        <w:ind w:firstLine="640" w:firstLineChars="200"/>
        <w:rPr>
          <w:rFonts w:ascii="方正仿宋_GBK" w:hAnsi="仿宋_GB2312" w:cs="仿宋_GB2312"/>
        </w:rPr>
      </w:pPr>
      <w:r>
        <w:rPr>
          <w:rFonts w:hint="eastAsia" w:ascii="方正仿宋_GBK" w:hAnsi="仿宋_GB2312" w:cs="仿宋_GB2312"/>
        </w:rPr>
        <w:t>（五）委托业务费情况。2026年委托业务费涉及财拨资金9.36万元，主要用于政府采购等支出。</w:t>
      </w:r>
    </w:p>
    <w:p w14:paraId="6E3C4F43">
      <w:pPr>
        <w:spacing w:line="600" w:lineRule="exact"/>
        <w:ind w:firstLine="640" w:firstLineChars="200"/>
        <w:rPr>
          <w:rFonts w:ascii="方正黑体_GBK" w:hAnsi="黑体" w:eastAsia="方正黑体_GBK" w:cs="仿宋_GB2312"/>
          <w:color w:val="000000" w:themeColor="text1"/>
        </w:rPr>
      </w:pPr>
      <w:r>
        <w:rPr>
          <w:rFonts w:hint="eastAsia" w:ascii="方正黑体_GBK" w:hAnsi="黑体" w:eastAsia="方正黑体_GBK" w:cs="仿宋_GB2312"/>
          <w:color w:val="000000" w:themeColor="text1"/>
        </w:rPr>
        <w:t>六</w:t>
      </w:r>
      <w:r>
        <w:rPr>
          <w:rFonts w:ascii="方正黑体_GBK" w:hAnsi="黑体" w:eastAsia="方正黑体_GBK" w:cs="仿宋_GB2312"/>
          <w:color w:val="000000" w:themeColor="text1"/>
        </w:rPr>
        <w:t>、</w:t>
      </w:r>
      <w:r>
        <w:rPr>
          <w:rFonts w:hint="eastAsia" w:ascii="方正黑体_GBK" w:hAnsi="黑体" w:eastAsia="方正黑体_GBK" w:cs="仿宋_GB2312"/>
          <w:color w:val="000000" w:themeColor="text1"/>
        </w:rPr>
        <w:t>专业性名词解释</w:t>
      </w:r>
    </w:p>
    <w:p w14:paraId="783F8C0F">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（一）财政拨款收入：指本年度从本级财政部门取得的财政拨款，包括一般公共预算财政拨款和政府性基金预算财政拨款。</w:t>
      </w:r>
    </w:p>
    <w:p w14:paraId="3ED9023C">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（二）财政专户管理资金收入：指缴入财政专户、实行专项管理的高中以上学费、住宿费、高校委托培养费、函大、电大、夜大及短训班培训费等教育收费。单位根据教育收费标准、学生人数等合理预计。</w:t>
      </w:r>
    </w:p>
    <w:p w14:paraId="4417A5FC">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（三）事业收入（不含教育收费）：指事业单位开展专业业务活动及其辅助活动取得的收入，不包括教育收费。单位根据本年度事业单位开展专业业务活动及其辅助活动计划，结合上年度收入等情况进行预计。</w:t>
      </w:r>
    </w:p>
    <w:p w14:paraId="78E7C848">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（四）上级补助收入：指从主管部门或上级单位取得的财政拨款以外的其他补助收入。单位结合上年度上级补助收入等情况进行预计。</w:t>
      </w:r>
    </w:p>
    <w:p w14:paraId="17D04AA5">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15294CB2">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39B52A36">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（七）其他收入：指债务收入、投资收益等收入，单位根据情况合理预计，全部编入预算。</w:t>
      </w:r>
    </w:p>
    <w:p w14:paraId="0A26AF65">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2C751178">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68210A9">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（十）项目支出：指在基本支出之外为完成特定行政任务和事业发展目标所发生的支出。</w:t>
      </w:r>
    </w:p>
    <w:p w14:paraId="438DA1A0">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892AA4B">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7C2FD87D">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（十三）工资福利支出（支出经济分类科目类级）：反映单位开支的在职职工和编制外长期聘用人员的各类劳动报酬，以及为上述人员缴纳的各项社会保险费等。</w:t>
      </w:r>
    </w:p>
    <w:p w14:paraId="5738E720">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（十四）商品和服务支出（支出经济分类科目类级）：反映单位购买商品和服务的支出（不包括用于购置固定资产的支出、战略性和应急储备支出）。</w:t>
      </w:r>
    </w:p>
    <w:p w14:paraId="5906A82D">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（十五）对个人和家庭的补助（支出经济分类科目类级）：反映用于对个人和家庭的补助支出。</w:t>
      </w:r>
    </w:p>
    <w:p w14:paraId="174D8EDD">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0139326D">
      <w:pPr>
        <w:ind w:firstLine="640" w:firstLineChars="200"/>
        <w:rPr>
          <w:rFonts w:ascii="方正仿宋_GBK" w:hAnsi="仿宋_GB2312" w:cs="仿宋_GB2312"/>
          <w:color w:val="000000" w:themeColor="text1"/>
        </w:rPr>
      </w:pPr>
    </w:p>
    <w:p w14:paraId="1C506F3B">
      <w:pPr>
        <w:rPr>
          <w:rFonts w:ascii="方正仿宋_GBK"/>
          <w:szCs w:val="32"/>
        </w:rPr>
      </w:pPr>
      <w:r>
        <w:rPr>
          <w:rFonts w:hint="eastAsia" w:ascii="方正仿宋_GBK"/>
          <w:szCs w:val="32"/>
        </w:rPr>
        <w:t>部门预算公开联系人：戚茂娇，联系方式：023-65765797</w:t>
      </w:r>
    </w:p>
    <w:p w14:paraId="080DEB92"/>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01DFFB-3F04-4230-9018-DF9BEA0B9E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1FF8BCA-9150-4798-A145-2D543538D6D1}"/>
  </w:font>
  <w:font w:name="方正仿宋_GBK">
    <w:panose1 w:val="03000509000000000000"/>
    <w:charset w:val="86"/>
    <w:family w:val="script"/>
    <w:pitch w:val="default"/>
    <w:sig w:usb0="00000001" w:usb1="080E0000" w:usb2="00000000" w:usb3="00000000" w:csb0="00040000" w:csb1="00000000"/>
    <w:embedRegular r:id="rId3" w:fontKey="{FFCB7957-5CFE-4A21-BC5F-46AC9B8B7814}"/>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4" w:fontKey="{A3483397-98AE-43CD-957C-C84EFA38D871}"/>
  </w:font>
  <w:font w:name="华文中宋">
    <w:altName w:val="宋体"/>
    <w:panose1 w:val="02010600040101010101"/>
    <w:charset w:val="86"/>
    <w:family w:val="auto"/>
    <w:pitch w:val="default"/>
    <w:sig w:usb0="00000000" w:usb1="00000000" w:usb2="00000010" w:usb3="00000000" w:csb0="0004009F" w:csb1="00000000"/>
    <w:embedRegular r:id="rId5" w:fontKey="{97842E32-D6B2-419D-80AA-45E5F1A0AD0E}"/>
  </w:font>
  <w:font w:name="汉仪中宋简">
    <w:altName w:val="宋体"/>
    <w:panose1 w:val="00000000000000000000"/>
    <w:charset w:val="00"/>
    <w:family w:val="auto"/>
    <w:pitch w:val="default"/>
    <w:sig w:usb0="00000000" w:usb1="00000000" w:usb2="00000000" w:usb3="00000000" w:csb0="00000000" w:csb1="00000000"/>
  </w:font>
  <w:font w:name="方正黑体_GBK">
    <w:panose1 w:val="02010600010101010101"/>
    <w:charset w:val="86"/>
    <w:family w:val="script"/>
    <w:pitch w:val="default"/>
    <w:sig w:usb0="00000001" w:usb1="080E0000" w:usb2="00000000" w:usb3="00000000" w:csb0="00040000" w:csb1="00000000"/>
    <w:embedRegular r:id="rId6" w:fontKey="{B3A07A68-88BF-44D7-9E79-5B307D1EB0D6}"/>
  </w:font>
  <w:font w:name="仿宋_GB2312">
    <w:altName w:val="仿宋"/>
    <w:panose1 w:val="00000000000000000000"/>
    <w:charset w:val="86"/>
    <w:family w:val="modern"/>
    <w:pitch w:val="default"/>
    <w:sig w:usb0="00000000" w:usb1="00000000" w:usb2="00000010" w:usb3="00000000" w:csb0="00040000" w:csb1="00000000"/>
    <w:embedRegular r:id="rId7" w:fontKey="{9864B86B-16F1-49C8-AB86-ED51034BF8F3}"/>
  </w:font>
  <w:font w:name="方正楷体_GBK">
    <w:panose1 w:val="02000000000000000000"/>
    <w:charset w:val="86"/>
    <w:family w:val="script"/>
    <w:pitch w:val="default"/>
    <w:sig w:usb0="800002BF" w:usb1="38CF7CFA" w:usb2="00000016" w:usb3="00000000" w:csb0="00040000" w:csb1="00000000"/>
    <w:embedRegular r:id="rId8" w:fontKey="{FCBB8236-AB8B-41B9-A1F3-E38706169B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68503">
    <w:pPr>
      <w:pStyle w:val="4"/>
    </w:pPr>
    <w: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132973FE">
                <w:pPr>
                  <w:pStyle w:val="4"/>
                </w:pPr>
                <w:r>
                  <w:rPr>
                    <w:rFonts w:hint="eastAsia" w:ascii="方正仿宋_GBK" w:hAnsi="方正仿宋_GBK" w:cs="方正仿宋_GBK"/>
                    <w:sz w:val="32"/>
                    <w:szCs w:val="32"/>
                  </w:rPr>
                  <w:fldChar w:fldCharType="begin"/>
                </w:r>
                <w:r>
                  <w:rPr>
                    <w:rFonts w:hint="eastAsia" w:ascii="方正仿宋_GBK" w:hAnsi="方正仿宋_GBK" w:cs="方正仿宋_GBK"/>
                    <w:sz w:val="32"/>
                    <w:szCs w:val="32"/>
                  </w:rPr>
                  <w:instrText xml:space="preserve"> PAGE  \* MERGEFORMAT </w:instrText>
                </w:r>
                <w:r>
                  <w:rPr>
                    <w:rFonts w:hint="eastAsia" w:ascii="方正仿宋_GBK" w:hAnsi="方正仿宋_GBK" w:cs="方正仿宋_GBK"/>
                    <w:sz w:val="32"/>
                    <w:szCs w:val="32"/>
                  </w:rPr>
                  <w:fldChar w:fldCharType="separate"/>
                </w:r>
                <w:r>
                  <w:rPr>
                    <w:rFonts w:ascii="方正仿宋_GBK" w:hAnsi="方正仿宋_GBK" w:cs="方正仿宋_GBK"/>
                    <w:sz w:val="32"/>
                    <w:szCs w:val="32"/>
                  </w:rPr>
                  <w:t>- 6 -</w:t>
                </w:r>
                <w:r>
                  <w:rPr>
                    <w:rFonts w:hint="eastAsia" w:ascii="方正仿宋_GBK" w:hAnsi="方正仿宋_GBK" w:cs="方正仿宋_GBK"/>
                    <w:sz w:val="32"/>
                    <w:szCs w:val="32"/>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471A2"/>
    <w:rsid w:val="00312421"/>
    <w:rsid w:val="004060EC"/>
    <w:rsid w:val="005B6F56"/>
    <w:rsid w:val="00702FA3"/>
    <w:rsid w:val="009D2257"/>
    <w:rsid w:val="009D47E5"/>
    <w:rsid w:val="00A01BA2"/>
    <w:rsid w:val="00AA7B8E"/>
    <w:rsid w:val="00AB370D"/>
    <w:rsid w:val="00E63DF3"/>
    <w:rsid w:val="00F471A2"/>
    <w:rsid w:val="01DC6F3A"/>
    <w:rsid w:val="04667978"/>
    <w:rsid w:val="0707209E"/>
    <w:rsid w:val="096F621C"/>
    <w:rsid w:val="09EE7810"/>
    <w:rsid w:val="0A761798"/>
    <w:rsid w:val="0D4170AE"/>
    <w:rsid w:val="17D940CB"/>
    <w:rsid w:val="19831E6C"/>
    <w:rsid w:val="19B9111F"/>
    <w:rsid w:val="1ADF0CC8"/>
    <w:rsid w:val="1B4B785C"/>
    <w:rsid w:val="1D5F079C"/>
    <w:rsid w:val="1EB3FDB6"/>
    <w:rsid w:val="21257BE1"/>
    <w:rsid w:val="241C6E07"/>
    <w:rsid w:val="2B59AB0B"/>
    <w:rsid w:val="2D0578E5"/>
    <w:rsid w:val="344E7C6B"/>
    <w:rsid w:val="39750D3E"/>
    <w:rsid w:val="3DFFA0AC"/>
    <w:rsid w:val="3F3B3618"/>
    <w:rsid w:val="3FFF11E9"/>
    <w:rsid w:val="42860DA7"/>
    <w:rsid w:val="500A7D66"/>
    <w:rsid w:val="586B6A4E"/>
    <w:rsid w:val="6B6F0756"/>
    <w:rsid w:val="6BFF778B"/>
    <w:rsid w:val="6E886FF6"/>
    <w:rsid w:val="6F742ABE"/>
    <w:rsid w:val="71F62B4E"/>
    <w:rsid w:val="7B5E5DE9"/>
    <w:rsid w:val="9EECC907"/>
    <w:rsid w:val="A77F2D4D"/>
    <w:rsid w:val="AD6F6A23"/>
    <w:rsid w:val="B7D59626"/>
    <w:rsid w:val="BDE8B9D1"/>
    <w:rsid w:val="BEB5B71D"/>
    <w:rsid w:val="DFE70B47"/>
    <w:rsid w:val="E2F79086"/>
    <w:rsid w:val="E7F2FF03"/>
    <w:rsid w:val="EE67EE9B"/>
    <w:rsid w:val="EEFF8F3D"/>
    <w:rsid w:val="EF67D6F3"/>
    <w:rsid w:val="EFC745CF"/>
    <w:rsid w:val="FB7E79B3"/>
    <w:rsid w:val="FBDF1D0E"/>
    <w:rsid w:val="FFEF6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u w:val="single"/>
    </w:rPr>
  </w:style>
  <w:style w:type="paragraph" w:styleId="9">
    <w:name w:val="List Paragraph"/>
    <w:basedOn w:val="1"/>
    <w:qFormat/>
    <w:uiPriority w:val="34"/>
    <w:pPr>
      <w:ind w:firstLine="420" w:firstLineChars="200"/>
    </w:pPr>
    <w:rPr>
      <w:rFonts w:ascii="仿宋" w:hAnsi="仿宋" w:eastAsia="仿宋"/>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2521</Words>
  <Characters>2663</Characters>
  <Lines>19</Lines>
  <Paragraphs>5</Paragraphs>
  <TotalTime>2</TotalTime>
  <ScaleCrop>false</ScaleCrop>
  <LinksUpToDate>false</LinksUpToDate>
  <CharactersWithSpaces>2663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2022-04-24T23:33:00Z</dcterms:created>
  <dc:creator>Administrator</dc:creator>
  <cp:lastModifiedBy>silence</cp:lastModifiedBy>
  <cp:lastPrinted>2023-04-23T19:42:00Z</cp:lastPrinted>
  <dcterms:modified xsi:type="dcterms:W3CDTF">2026-07-06T06:31:13Z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E280C5447EE24D77947733642780972E</vt:lpwstr>
  </property>
  <property fmtid="{D5CDD505-2E9C-101B-9397-08002B2CF9AE}" pid="4" name="KSOTemplateDocerSaveRecord">
    <vt:lpwstr>eyJoZGlkIjoiZjRmYWUxOWJhMWE5OGFmZGQyNzA0NjBkZTNhOGRjMDEiLCJ1c2VySWQiOiIyNDg4ODMzNzUifQ==</vt:lpwstr>
  </property>
</Properties>
</file>