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2A5FA">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石板镇人民政府（本级）</w:t>
      </w:r>
    </w:p>
    <w:p w14:paraId="3423ED37">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2026年预算公开情况说明</w:t>
      </w:r>
    </w:p>
    <w:p w14:paraId="5A9D1B76">
      <w:pPr>
        <w:spacing w:line="600" w:lineRule="exact"/>
        <w:ind w:firstLine="880" w:firstLineChars="200"/>
        <w:jc w:val="center"/>
        <w:rPr>
          <w:rFonts w:ascii="华文中宋" w:hAnsi="华文中宋" w:eastAsia="华文中宋" w:cs="华文中宋"/>
          <w:sz w:val="44"/>
          <w:szCs w:val="44"/>
        </w:rPr>
      </w:pPr>
    </w:p>
    <w:p w14:paraId="5CD1F34F">
      <w:pPr>
        <w:spacing w:line="600" w:lineRule="exact"/>
        <w:ind w:firstLine="640" w:firstLineChars="200"/>
        <w:rPr>
          <w:rFonts w:ascii="方正黑体_GBK" w:hAnsi="黑体" w:eastAsia="方正黑体_GBK" w:cs="仿宋_GB2312"/>
        </w:rPr>
      </w:pPr>
      <w:r>
        <w:rPr>
          <w:rFonts w:hint="eastAsia" w:ascii="方正黑体_GBK" w:hAnsi="黑体" w:eastAsia="方正黑体_GBK" w:cs="仿宋_GB2312"/>
        </w:rPr>
        <w:t>一、单位基本情况</w:t>
      </w:r>
    </w:p>
    <w:p w14:paraId="2183585E">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（一）职能职责</w:t>
      </w:r>
    </w:p>
    <w:p w14:paraId="70648F14">
      <w:pPr>
        <w:pStyle w:val="4"/>
        <w:spacing w:before="0" w:beforeAutospacing="0" w:after="0" w:afterAutospacing="0" w:line="600" w:lineRule="exact"/>
        <w:ind w:firstLine="640"/>
        <w:jc w:val="both"/>
        <w:rPr>
          <w:rFonts w:ascii="方正仿宋_GBK" w:hAnsi="仿宋_GB2312" w:cs="仿宋_GB2312"/>
          <w:color w:val="000000"/>
          <w:kern w:val="2"/>
          <w:sz w:val="32"/>
          <w:szCs w:val="20"/>
        </w:rPr>
      </w:pPr>
      <w:r>
        <w:rPr>
          <w:rFonts w:hint="eastAsia" w:ascii="方正仿宋_GBK" w:hAnsi="仿宋_GB2312" w:cs="仿宋_GB2312"/>
          <w:color w:val="000000"/>
          <w:kern w:val="2"/>
          <w:sz w:val="32"/>
          <w:szCs w:val="20"/>
        </w:rPr>
        <w:t>一是贯彻执行党和国家的路线、方针、政策、法律、法规，执行上级党组织和政府的决议、决定，执行镇人民代表大会的各项决议；二是制定并实施镇经济和社会发展规划、年度计划和预算，抓好本辖区内</w:t>
      </w:r>
      <w:bookmarkStart w:id="0" w:name="_GoBack"/>
      <w:bookmarkEnd w:id="0"/>
      <w:r>
        <w:rPr>
          <w:rFonts w:hint="eastAsia" w:ascii="方正仿宋_GBK" w:hAnsi="仿宋_GB2312" w:cs="仿宋_GB2312"/>
          <w:color w:val="000000"/>
          <w:kern w:val="2"/>
          <w:sz w:val="32"/>
          <w:szCs w:val="20"/>
        </w:rPr>
        <w:t>经济和社会发展的各项工作，并向本级人民代表大会报告工作；三是管理本辖区内的经济、教育、科学、文化、体育、规划建设、生态环境、财政、民政、信访、司法、卫生健康、社会治安、安全生产、综合治理、交通安全、社会保障等工作；四是加强镇财政的监督和管理，按计划、预算管理镇财政收入和支出，执行国家财政、财税工作的法律、政策，保证国家财政收入的完成；五是指导、支持村（社区）工作，帮助其进行组织、制度和业务建设，促进村（社区）民主自治；六是承办上级交办的其他工作。</w:t>
      </w:r>
    </w:p>
    <w:p w14:paraId="58D40E53">
      <w:pPr>
        <w:pStyle w:val="7"/>
        <w:tabs>
          <w:tab w:val="center" w:pos="4153"/>
          <w:tab w:val="left" w:pos="7275"/>
        </w:tabs>
        <w:spacing w:line="600" w:lineRule="exact"/>
        <w:ind w:left="640" w:firstLine="0" w:firstLineChars="0"/>
        <w:jc w:val="left"/>
        <w:rPr>
          <w:rFonts w:ascii="方正楷体_GBK" w:hAnsi="仿宋_GB2312" w:eastAsia="方正楷体_GBK" w:cs="仿宋_GB2312"/>
          <w:color w:val="000000"/>
          <w:sz w:val="32"/>
        </w:rPr>
      </w:pPr>
      <w:r>
        <w:rPr>
          <w:rFonts w:hint="eastAsia" w:ascii="方正楷体_GBK" w:hAnsi="仿宋_GB2312" w:eastAsia="方正楷体_GBK" w:cs="仿宋_GB2312"/>
          <w:color w:val="000000"/>
          <w:sz w:val="32"/>
        </w:rPr>
        <w:t>（二）单位构成</w:t>
      </w:r>
    </w:p>
    <w:p w14:paraId="16C94593">
      <w:pPr>
        <w:spacing w:line="600" w:lineRule="exact"/>
        <w:ind w:firstLine="640" w:firstLineChars="200"/>
        <w:rPr>
          <w:rFonts w:ascii="方正仿宋_GBK"/>
          <w:color w:val="000000"/>
          <w:szCs w:val="32"/>
          <w:lang w:val="en"/>
        </w:rPr>
      </w:pPr>
      <w:r>
        <w:rPr>
          <w:rFonts w:hint="eastAsia" w:ascii="方正仿宋_GBK" w:hAnsi="宋体" w:cs="宋体"/>
          <w:color w:val="000000"/>
          <w:szCs w:val="32"/>
          <w:shd w:val="clear" w:color="auto" w:fill="FFFFFF"/>
          <w:lang w:bidi="ar"/>
        </w:rPr>
        <w:t>石板镇人民政府内设5个机构处室，分别是：</w:t>
      </w:r>
      <w:r>
        <w:rPr>
          <w:szCs w:val="32"/>
        </w:rPr>
        <w:t>基层治理综合指挥室</w:t>
      </w:r>
      <w:r>
        <w:rPr>
          <w:rFonts w:hint="eastAsia"/>
          <w:szCs w:val="32"/>
        </w:rPr>
        <w:t>、</w:t>
      </w:r>
      <w:r>
        <w:rPr>
          <w:szCs w:val="32"/>
        </w:rPr>
        <w:t>党的建设办公室、经济发展办公室、民生服务办公室、平安法治办公室</w:t>
      </w:r>
      <w:r>
        <w:rPr>
          <w:rFonts w:hint="eastAsia" w:ascii="方正仿宋_GBK" w:hAnsi="宋体" w:cs="宋体"/>
          <w:color w:val="000000"/>
          <w:szCs w:val="32"/>
          <w:shd w:val="clear" w:color="auto" w:fill="FFFFFF"/>
          <w:lang w:bidi="ar"/>
        </w:rPr>
        <w:t>。</w:t>
      </w:r>
    </w:p>
    <w:p w14:paraId="19DB2D13">
      <w:pPr>
        <w:spacing w:line="600" w:lineRule="exact"/>
        <w:ind w:firstLine="640" w:firstLineChars="200"/>
        <w:rPr>
          <w:rFonts w:ascii="方正黑体_GBK" w:hAnsi="黑体" w:eastAsia="方正黑体_GBK" w:cs="仿宋_GB2312"/>
        </w:rPr>
      </w:pPr>
      <w:r>
        <w:rPr>
          <w:rFonts w:hint="eastAsia" w:ascii="方正黑体_GBK" w:hAnsi="黑体" w:eastAsia="方正黑体_GBK" w:cs="仿宋_GB2312"/>
        </w:rPr>
        <w:t>二、单位收支总体情况</w:t>
      </w:r>
    </w:p>
    <w:p w14:paraId="131F13A4">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（一）收入预算：</w:t>
      </w:r>
      <w:r>
        <w:rPr>
          <w:rFonts w:hint="eastAsia" w:ascii="方正仿宋_GBK" w:hAnsi="仿宋_GB2312" w:cs="仿宋_GB2312"/>
          <w:color w:val="000000" w:themeColor="text1"/>
        </w:rPr>
        <w:t>2026年年初预算数2405.87万元，其中：一般公共预算拨款2405.87万元，政府性基金预算拨款0万元，国有资本经营预算收入0万元，事业收入0万元，事业单位经营收入0万元，其他收入0万元。收入较2025年增加374.4万元，主要是一般公共预算经费拨款增加374.4万元。</w:t>
      </w:r>
    </w:p>
    <w:p w14:paraId="0F989C1C">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（二）支出预算：</w:t>
      </w:r>
      <w:r>
        <w:rPr>
          <w:rFonts w:hint="eastAsia" w:ascii="方正仿宋_GBK" w:hAnsi="仿宋_GB2312" w:cs="仿宋_GB2312"/>
          <w:color w:val="000000" w:themeColor="text1"/>
        </w:rPr>
        <w:t>2026年年初预算数2405.87万元，其中：一般公共服务支出预算1204.27万元，教育支出预算0万元，国防支出预算10.82万元，社会保障和就业支出预算220.47万元，卫生健康支出预算102.92万元，城乡社区支出预算230.6万元，农林水支出预算557.66万元，住房保障支出预算79.14万元。支出预算较2025年增加374.4万元，主要是基本支出预算减少15.26万元，项目支出预算增加389.66万元。</w:t>
      </w:r>
    </w:p>
    <w:p w14:paraId="06000E25">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三</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单位预算情况说明</w:t>
      </w:r>
    </w:p>
    <w:p w14:paraId="516E24D0">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2026年一般公共预算财政拨款收入2405.87万元，一般公共预算财政拨款支出2405.87万元，比2025年增加374.4万元。其中：基本支出905.43万元，比2025年减少15.26万元，</w:t>
      </w:r>
      <w:r>
        <w:rPr>
          <w:rFonts w:hint="eastAsia" w:ascii="方正仿宋_GBK" w:hAnsi="仿宋_GB2312" w:cs="仿宋_GB2312"/>
          <w:color w:val="000000"/>
        </w:rPr>
        <w:t>主要原因是缩减日常公用经费开支、优化支出结构，主要用于保</w:t>
      </w:r>
      <w:r>
        <w:rPr>
          <w:rFonts w:ascii="方正仿宋_GBK" w:hAnsi="仿宋_GB2312" w:cs="仿宋_GB2312"/>
          <w:color w:val="000000"/>
        </w:rPr>
        <w:t>障</w:t>
      </w:r>
      <w:r>
        <w:rPr>
          <w:rFonts w:hint="eastAsia" w:ascii="方正仿宋_GBK" w:hAnsi="仿宋_GB2312" w:cs="仿宋_GB2312"/>
          <w:color w:val="000000"/>
        </w:rPr>
        <w:t>部门</w:t>
      </w:r>
      <w:r>
        <w:rPr>
          <w:rFonts w:hint="eastAsia" w:ascii="方正仿宋_GBK" w:hAnsi="仿宋_GB2312" w:cs="仿宋_GB2312"/>
          <w:color w:val="000000" w:themeColor="text1"/>
        </w:rPr>
        <w:t>在职人员工资福利及社会保险缴费，</w:t>
      </w:r>
      <w:r>
        <w:rPr>
          <w:rFonts w:ascii="方正仿宋_GBK" w:hAnsi="仿宋_GB2312" w:cs="仿宋_GB2312"/>
          <w:color w:val="000000" w:themeColor="text1"/>
        </w:rPr>
        <w:t>退休人员</w:t>
      </w:r>
      <w:r>
        <w:rPr>
          <w:rFonts w:hint="eastAsia" w:ascii="方正仿宋_GBK" w:hAnsi="仿宋_GB2312" w:cs="仿宋_GB2312"/>
          <w:color w:val="000000" w:themeColor="text1"/>
        </w:rPr>
        <w:t>补助等，保障部门正常运转的各项商品服务支出；项目支出1500.44万元，比2025年增加389.66万元，主要原因是下属事业单位中有部分预算项目设置到了政府（本级）中，主要用于村社组织运转、民政管理、党建事务等重点工作。</w:t>
      </w:r>
    </w:p>
    <w:p w14:paraId="0B495025">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石板镇政府（本级）2026年无使用政府性基金预算拨款安排的支出。</w:t>
      </w:r>
    </w:p>
    <w:p w14:paraId="2CC80C03">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四</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“三公”经费情况说明</w:t>
      </w:r>
    </w:p>
    <w:p w14:paraId="5374C679">
      <w:pPr>
        <w:spacing w:line="600" w:lineRule="exact"/>
        <w:ind w:firstLine="600"/>
        <w:rPr>
          <w:rFonts w:ascii="方正仿宋_GBK" w:hAnsi="仿宋_GB2312" w:cs="仿宋_GB2312"/>
          <w:color w:val="000000" w:themeColor="text1"/>
        </w:rPr>
      </w:pPr>
      <w:r>
        <w:rPr>
          <w:rFonts w:hint="eastAsia" w:ascii="方正仿宋_GBK" w:hAnsi="仿宋_GB2312" w:cs="仿宋_GB2312"/>
          <w:color w:val="000000" w:themeColor="text1"/>
        </w:rPr>
        <w:t>2026年“三公”经费预算33.5万元，比2025年增加13.5万元。其中：因公出国（境）费用0万元，比2025年减少0万元；公务接待费2万元，比2025年减少0万元；公务用车运行维护费13.5万元，比2025年减少4.5万元，主要为机构改革后，有一辆事业编制车辆从政府（本级）调入了产业发展服务中心中，故公务用车运行维护费也一并从政府（本级）调整到产业发展服务中心；公务用车购置费18万元，比2025年增加18万元，主要原因是2025年报废公务用车一辆，为保障日常公务出行，</w:t>
      </w:r>
      <w:r>
        <w:rPr>
          <w:rFonts w:hint="eastAsia" w:ascii="方正仿宋_GBK" w:hAnsi="仿宋_GB2312" w:cs="仿宋_GB2312"/>
          <w:color w:val="000000"/>
        </w:rPr>
        <w:t>在公务车编制数内</w:t>
      </w:r>
      <w:r>
        <w:rPr>
          <w:rFonts w:hint="eastAsia" w:ascii="方正仿宋_GBK" w:hAnsi="仿宋_GB2312" w:cs="仿宋_GB2312"/>
          <w:color w:val="000000" w:themeColor="text1"/>
        </w:rPr>
        <w:t>2026年计划购置公务用车一辆。</w:t>
      </w:r>
    </w:p>
    <w:p w14:paraId="19D828E4">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五、其他重要事项的情况说明</w:t>
      </w:r>
    </w:p>
    <w:p w14:paraId="00775068">
      <w:pPr>
        <w:spacing w:line="600" w:lineRule="exact"/>
        <w:ind w:firstLine="640" w:firstLineChars="200"/>
        <w:rPr>
          <w:rFonts w:ascii="方正仿宋_GBK" w:hAnsi="仿宋_GB2312" w:cs="仿宋_GB2312"/>
          <w:bCs/>
          <w:color w:val="0000FF"/>
        </w:rPr>
      </w:pPr>
      <w:r>
        <w:rPr>
          <w:rFonts w:hint="eastAsia" w:ascii="方正仿宋_GBK" w:hAnsi="仿宋_GB2312" w:cs="仿宋_GB2312"/>
          <w:bCs/>
          <w:color w:val="000000" w:themeColor="text1"/>
        </w:rPr>
        <w:t>（一）机关运行经费。2026年一般公共预算财政拨款运行经费181.37万元，比上年减少5.21万元，主要原因为厉行节约常态化，缩减日常公用经费支出。</w:t>
      </w:r>
      <w:r>
        <w:rPr>
          <w:rFonts w:hint="eastAsia" w:ascii="方正仿宋_GBK" w:hAnsi="仿宋_GB2312" w:cs="仿宋_GB2312"/>
          <w:color w:val="000000"/>
        </w:rPr>
        <w:t>主要用于办公费、印刷费、邮电费、水电费、物管费、差旅费、会议费、培训费及其他商品和服务支出等</w:t>
      </w:r>
      <w:r>
        <w:rPr>
          <w:rFonts w:hint="eastAsia" w:ascii="方正仿宋_GBK" w:hAnsi="仿宋_GB2312" w:cs="仿宋_GB2312"/>
          <w:color w:val="000000"/>
          <w:lang w:val="en"/>
        </w:rPr>
        <w:t>。</w:t>
      </w:r>
    </w:p>
    <w:p w14:paraId="7D797289">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 xml:space="preserve">（二）政府采购情况。所属各预算单位政府采购预算总额163万元，其中，政府采购货物预算18万元、政府采购工程预算145万元、政府采购服务预算0万元；一般公共预算拨款政府采购163万元，其中，政府采购货物预算18万元、政府采购工程预算145万元、政府采购服务预算0万元。 </w:t>
      </w:r>
    </w:p>
    <w:p w14:paraId="0957B1DF">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（三）绩效目标设置情况。2026年项目支出均实行了绩效目标管理，涉及一般公共预算当年财政拨款1500.44万元。</w:t>
      </w:r>
    </w:p>
    <w:p w14:paraId="6F0D5F71">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（四）国有资产占有使用情况。</w:t>
      </w:r>
      <w:r>
        <w:rPr>
          <w:rFonts w:hint="eastAsia" w:ascii="方正仿宋_GBK" w:hAnsi="仿宋_GB2312" w:cs="仿宋_GB2312"/>
          <w:color w:val="000000"/>
          <w:lang w:eastAsia="zh-CN"/>
        </w:rPr>
        <w:t>截至2025年</w:t>
      </w:r>
      <w:r>
        <w:rPr>
          <w:rFonts w:hint="eastAsia" w:ascii="方正仿宋_GBK" w:hAnsi="仿宋_GB2312" w:cs="仿宋_GB2312"/>
          <w:color w:val="000000"/>
        </w:rPr>
        <w:t>12月，所属各预算单位车辆共有2辆，其中机要通信用车1辆、应急保障用车1辆。2026年一般公共预算安排购置车辆1辆，其中一般公务用车1辆、执勤执法用车0辆。</w:t>
      </w:r>
    </w:p>
    <w:p w14:paraId="2CADD3FC">
      <w:pPr>
        <w:spacing w:line="600" w:lineRule="exact"/>
        <w:ind w:firstLine="640" w:firstLineChars="200"/>
        <w:rPr>
          <w:rFonts w:ascii="方正仿宋_GBK" w:hAnsi="仿宋_GB2312" w:cs="仿宋_GB2312"/>
        </w:rPr>
      </w:pPr>
      <w:r>
        <w:rPr>
          <w:rFonts w:hint="eastAsia" w:ascii="方正仿宋_GBK" w:hAnsi="仿宋_GB2312" w:cs="仿宋_GB2312"/>
        </w:rPr>
        <w:t>（五）委托业务费情况。2026年委托业务费涉及财拨资金274.62万元，主要用于农村综合改革资金、政府采购、购买服务等支出。</w:t>
      </w:r>
    </w:p>
    <w:p w14:paraId="1BF29B0A">
      <w:pPr>
        <w:spacing w:line="600" w:lineRule="exact"/>
        <w:ind w:firstLine="640" w:firstLineChars="200"/>
        <w:rPr>
          <w:rFonts w:ascii="方正黑体_GBK" w:hAnsi="黑体" w:eastAsia="方正黑体_GBK" w:cs="仿宋_GB2312"/>
        </w:rPr>
      </w:pPr>
      <w:r>
        <w:rPr>
          <w:rFonts w:hint="eastAsia" w:ascii="方正黑体_GBK" w:hAnsi="黑体" w:eastAsia="方正黑体_GBK" w:cs="仿宋_GB2312"/>
        </w:rPr>
        <w:t>六</w:t>
      </w:r>
      <w:r>
        <w:rPr>
          <w:rFonts w:ascii="方正黑体_GBK" w:hAnsi="黑体" w:eastAsia="方正黑体_GBK" w:cs="仿宋_GB2312"/>
        </w:rPr>
        <w:t>、</w:t>
      </w:r>
      <w:r>
        <w:rPr>
          <w:rFonts w:hint="eastAsia" w:ascii="方正黑体_GBK" w:hAnsi="黑体" w:eastAsia="方正黑体_GBK" w:cs="仿宋_GB2312"/>
        </w:rPr>
        <w:t>专业性名词解释</w:t>
      </w:r>
    </w:p>
    <w:p w14:paraId="2673950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（一）财政拨款收入：指本年度从本级财政部门取得的财政拨款，包括一般公共预算财政拨款和政府性基金预算财政拨款。</w:t>
      </w:r>
    </w:p>
    <w:p w14:paraId="0C65C8D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（二）财政专户管理资金收入：指缴入财政专户、实行专项管理的高中以上学费、住宿费、高校委托培养费、函大、电大、夜大及短训班培训费等教育收费。单位根据教育收费标准、学生人数等合理预计。</w:t>
      </w:r>
    </w:p>
    <w:p w14:paraId="340C8EB4">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14:paraId="151307D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（四）上级补助收入：指从主管部门或上级单位取得的财政拨款以外的其他补助收入。单位结合上年度上级补助收入等情况进行预计。</w:t>
      </w:r>
    </w:p>
    <w:p w14:paraId="7FBDF33F">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39F1AEA">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3B1FEA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（七）其他收入：指债务收入、投资收益等收入，单位根据情况合理预计，全部编入预算。</w:t>
      </w:r>
    </w:p>
    <w:p w14:paraId="1A74073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26FF1A2">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6A9B325">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（十）项目支出：指在基本支出之外为完成特定行政任务和事业发展目标所发生的支出。</w:t>
      </w:r>
    </w:p>
    <w:p w14:paraId="6EDA278F">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3296E4">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03EC9024">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（十三）工资福利支出（支出经济分类科目类级）：反映单位开支的在职职工和编制外长期聘用人员的各类劳动报酬，以及为上述人员缴纳的各项社会保险费等。</w:t>
      </w:r>
    </w:p>
    <w:p w14:paraId="7CBD671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（十四）商品和服务支出（支出经济分类科目类级）：反映单位购买商品和服务的支出（不包括用于购置固定资产的支出、战略性和应急储备支出）。</w:t>
      </w:r>
    </w:p>
    <w:p w14:paraId="67ED7E6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（十五）对个人和家庭的补助（支出经济分类科目类级）：反映用于对个人和家庭的补助支出。</w:t>
      </w:r>
    </w:p>
    <w:p w14:paraId="40B480B7">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7B59E9F4">
      <w:pPr>
        <w:ind w:firstLine="640" w:firstLineChars="200"/>
        <w:rPr>
          <w:rFonts w:ascii="方正仿宋_GBK" w:hAnsi="仿宋_GB2312" w:cs="仿宋_GB2312"/>
        </w:rPr>
      </w:pPr>
    </w:p>
    <w:p w14:paraId="495880C5">
      <w:pPr>
        <w:rPr>
          <w:rFonts w:ascii="方正仿宋_GBK"/>
          <w:szCs w:val="32"/>
        </w:rPr>
      </w:pPr>
      <w:r>
        <w:rPr>
          <w:rFonts w:hint="eastAsia" w:ascii="方正仿宋_GBK"/>
          <w:szCs w:val="32"/>
        </w:rPr>
        <w:t>部门预算公开联系人：戚茂娇，联系方式：023-65765797</w:t>
      </w:r>
    </w:p>
    <w:p w14:paraId="7096F545"/>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F16214-8CD0-4385-9CC5-2AB21864EF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F4D45E-1853-48BB-8604-6333CF002927}"/>
  </w:font>
  <w:font w:name="方正仿宋_GBK">
    <w:panose1 w:val="03000509000000000000"/>
    <w:charset w:val="86"/>
    <w:family w:val="script"/>
    <w:pitch w:val="default"/>
    <w:sig w:usb0="00000001" w:usb1="080E0000" w:usb2="00000000" w:usb3="00000000" w:csb0="00040000" w:csb1="00000000"/>
    <w:embedRegular r:id="rId3" w:fontKey="{4FC401E8-088A-4FA6-AB71-95FB58360D0D}"/>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4B865BF5-8704-4F09-AA2A-1B05DA288780}"/>
  </w:font>
  <w:font w:name="华文中宋">
    <w:altName w:val="宋体"/>
    <w:panose1 w:val="02010600040101010101"/>
    <w:charset w:val="86"/>
    <w:family w:val="auto"/>
    <w:pitch w:val="default"/>
    <w:sig w:usb0="00000000" w:usb1="00000000" w:usb2="00000010" w:usb3="00000000" w:csb0="0004009F" w:csb1="00000000"/>
    <w:embedRegular r:id="rId5" w:fontKey="{3D4D73FE-F3B3-4BC6-B8E5-86AC9CF037A5}"/>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6" w:fontKey="{249381B1-140C-4456-990F-E07CCB1398D9}"/>
  </w:font>
  <w:font w:name="仿宋_GB2312">
    <w:altName w:val="仿宋"/>
    <w:panose1 w:val="00000000000000000000"/>
    <w:charset w:val="86"/>
    <w:family w:val="modern"/>
    <w:pitch w:val="default"/>
    <w:sig w:usb0="00000000" w:usb1="00000000" w:usb2="00000010" w:usb3="00000000" w:csb0="00040000" w:csb1="00000000"/>
    <w:embedRegular r:id="rId7" w:fontKey="{793E2802-F2C9-4F3E-8A7D-B6EC90D011D7}"/>
  </w:font>
  <w:font w:name="方正楷体_GBK">
    <w:panose1 w:val="02000000000000000000"/>
    <w:charset w:val="86"/>
    <w:family w:val="script"/>
    <w:pitch w:val="default"/>
    <w:sig w:usb0="800002BF" w:usb1="38CF7CFA" w:usb2="00000016" w:usb3="00000000" w:csb0="00040000" w:csb1="00000000"/>
    <w:embedRegular r:id="rId8" w:fontKey="{1865EC65-2B76-4E2A-8C60-C2739BD50C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952B">
    <w:pPr>
      <w:pStyle w:val="2"/>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8791A39">
                <w:pPr>
                  <w:pStyle w:val="2"/>
                </w:pP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- 7 -</w:t>
                </w:r>
                <w:r>
                  <w:rPr>
                    <w:rFonts w:hint="eastAsia" w:ascii="方正仿宋_GBK" w:hAnsi="方正仿宋_GBK" w:cs="方正仿宋_GBK"/>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46505"/>
    <w:rsid w:val="000876CD"/>
    <w:rsid w:val="00146505"/>
    <w:rsid w:val="00233E8A"/>
    <w:rsid w:val="00394223"/>
    <w:rsid w:val="003B116B"/>
    <w:rsid w:val="00554D64"/>
    <w:rsid w:val="00612DBB"/>
    <w:rsid w:val="007B65C9"/>
    <w:rsid w:val="0085731C"/>
    <w:rsid w:val="00CC410E"/>
    <w:rsid w:val="00E1284A"/>
    <w:rsid w:val="00ED13B8"/>
    <w:rsid w:val="00F90D56"/>
    <w:rsid w:val="01DC6F3A"/>
    <w:rsid w:val="06B71706"/>
    <w:rsid w:val="096F621C"/>
    <w:rsid w:val="09EE7810"/>
    <w:rsid w:val="0A761798"/>
    <w:rsid w:val="0B2C5B50"/>
    <w:rsid w:val="0C7B2861"/>
    <w:rsid w:val="130A3246"/>
    <w:rsid w:val="18C43020"/>
    <w:rsid w:val="19831E6C"/>
    <w:rsid w:val="19B9111F"/>
    <w:rsid w:val="1ADF0CC8"/>
    <w:rsid w:val="1B4B785C"/>
    <w:rsid w:val="1CD06A24"/>
    <w:rsid w:val="1EF370A1"/>
    <w:rsid w:val="21257BE1"/>
    <w:rsid w:val="241C6E07"/>
    <w:rsid w:val="312B41D4"/>
    <w:rsid w:val="344E7C6B"/>
    <w:rsid w:val="39750D3E"/>
    <w:rsid w:val="4A160A60"/>
    <w:rsid w:val="4CFDDDD5"/>
    <w:rsid w:val="4FFFBA0E"/>
    <w:rsid w:val="502B111C"/>
    <w:rsid w:val="51FC58FE"/>
    <w:rsid w:val="57F3FD67"/>
    <w:rsid w:val="586B6A4E"/>
    <w:rsid w:val="5DB7C87A"/>
    <w:rsid w:val="5DFF506E"/>
    <w:rsid w:val="636C4F9B"/>
    <w:rsid w:val="64F00FF4"/>
    <w:rsid w:val="67477D4E"/>
    <w:rsid w:val="679FC5CF"/>
    <w:rsid w:val="683B5B69"/>
    <w:rsid w:val="69BF3B03"/>
    <w:rsid w:val="6B3C97A9"/>
    <w:rsid w:val="6B5CEA29"/>
    <w:rsid w:val="6BFB1F97"/>
    <w:rsid w:val="6D2F3975"/>
    <w:rsid w:val="6E886FF6"/>
    <w:rsid w:val="73DE1A0B"/>
    <w:rsid w:val="74EE17BF"/>
    <w:rsid w:val="77EFE790"/>
    <w:rsid w:val="7BD5156B"/>
    <w:rsid w:val="7CEA1D82"/>
    <w:rsid w:val="7F3BC966"/>
    <w:rsid w:val="7F69640E"/>
    <w:rsid w:val="7FC736AE"/>
    <w:rsid w:val="7FFF9CED"/>
    <w:rsid w:val="9FBB1EF9"/>
    <w:rsid w:val="AFF69F20"/>
    <w:rsid w:val="B3FF8B41"/>
    <w:rsid w:val="CF3F0724"/>
    <w:rsid w:val="D5ECD66A"/>
    <w:rsid w:val="D7DFADF3"/>
    <w:rsid w:val="D9DFE8DC"/>
    <w:rsid w:val="DB5EA0E3"/>
    <w:rsid w:val="EE9BCEC9"/>
    <w:rsid w:val="F1879C08"/>
    <w:rsid w:val="F7BF30D8"/>
    <w:rsid w:val="FB99492D"/>
    <w:rsid w:val="FD3FD653"/>
    <w:rsid w:val="FD9FBD99"/>
    <w:rsid w:val="FEFF117E"/>
    <w:rsid w:val="FFFFD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3186</Words>
  <Characters>3417</Characters>
  <Lines>24</Lines>
  <Paragraphs>6</Paragraphs>
  <TotalTime>7</TotalTime>
  <ScaleCrop>false</ScaleCrop>
  <LinksUpToDate>false</LinksUpToDate>
  <CharactersWithSpaces>3418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2022-04-24T23:33:00Z</dcterms:created>
  <dc:creator>Administrator</dc:creator>
  <cp:lastModifiedBy>silence</cp:lastModifiedBy>
  <cp:lastPrinted>2023-04-23T23:11:00Z</cp:lastPrinted>
  <dcterms:modified xsi:type="dcterms:W3CDTF">2026-07-06T02:49:24Z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E280C5447EE24D77947733642780972E</vt:lpwstr>
  </property>
  <property fmtid="{D5CDD505-2E9C-101B-9397-08002B2CF9AE}" pid="4" name="KSOTemplateDocerSaveRecord">
    <vt:lpwstr>eyJoZGlkIjoiZjRmYWUxOWJhMWE5OGFmZGQyNzA0NjBkZTNhOGRjMDEiLCJ1c2VySWQiOiIyNDg4ODMzNzUifQ==</vt:lpwstr>
  </property>
</Properties>
</file>