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F5" w:rsidRDefault="00BA51B4">
      <w:pPr>
        <w:pStyle w:val="a5"/>
        <w:widowControl/>
        <w:spacing w:beforeAutospacing="0" w:afterAutospacing="0"/>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石板镇新时代文明实践服务中心</w:t>
      </w:r>
    </w:p>
    <w:p w:rsidR="001C6DF5" w:rsidRDefault="00BA51B4">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1C6DF5" w:rsidRDefault="001C6DF5">
      <w:pPr>
        <w:spacing w:line="600" w:lineRule="exact"/>
        <w:ind w:firstLineChars="200" w:firstLine="880"/>
        <w:jc w:val="center"/>
        <w:rPr>
          <w:rFonts w:ascii="华文中宋" w:eastAsia="华文中宋" w:hAnsi="华文中宋" w:cs="华文中宋"/>
          <w:sz w:val="44"/>
          <w:szCs w:val="44"/>
        </w:rPr>
      </w:pPr>
    </w:p>
    <w:p w:rsidR="001C6DF5" w:rsidRDefault="00BA51B4">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一、单位基本情况</w:t>
      </w:r>
    </w:p>
    <w:p w:rsidR="001C6DF5" w:rsidRDefault="00BA51B4">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1C6DF5" w:rsidRDefault="00BA51B4">
      <w:pPr>
        <w:spacing w:line="600" w:lineRule="exact"/>
        <w:ind w:firstLineChars="200" w:firstLine="640"/>
        <w:rPr>
          <w:rFonts w:ascii="方正仿宋_GBK" w:hAnsi="方正仿宋_GBK" w:cs="方正仿宋_GBK"/>
          <w:color w:val="000000"/>
          <w:spacing w:val="-6"/>
          <w:szCs w:val="32"/>
        </w:rPr>
      </w:pPr>
      <w:r>
        <w:rPr>
          <w:rFonts w:ascii="方正仿宋_GBK" w:hAnsi="方正仿宋_GBK" w:cs="方正仿宋_GBK" w:hint="eastAsia"/>
          <w:snapToGrid w:val="0"/>
          <w:color w:val="000000"/>
          <w:szCs w:val="32"/>
        </w:rPr>
        <w:t>石板镇新时代文明实践服务中心职能职责为</w:t>
      </w:r>
      <w:r>
        <w:rPr>
          <w:rFonts w:ascii="方正仿宋_GBK" w:hAnsi="方正仿宋_GBK" w:cs="方正仿宋_GBK" w:hint="eastAsia"/>
          <w:color w:val="000000"/>
          <w:szCs w:val="32"/>
        </w:rPr>
        <w:t>负</w:t>
      </w:r>
      <w:r>
        <w:rPr>
          <w:rFonts w:ascii="方正仿宋_GBK" w:hAnsi="方正仿宋_GBK" w:cs="方正仿宋_GBK" w:hint="eastAsia"/>
          <w:color w:val="000000"/>
          <w:szCs w:val="32"/>
        </w:rPr>
        <w:t>责</w:t>
      </w:r>
      <w:r>
        <w:rPr>
          <w:rFonts w:ascii="方正仿宋_GBK" w:hAnsi="方正仿宋_GBK" w:cs="方正仿宋_GBK" w:hint="eastAsia"/>
          <w:color w:val="000000"/>
          <w:szCs w:val="32"/>
        </w:rPr>
        <w:t>新时代文明实践和精神文明建设服务工作</w:t>
      </w:r>
      <w:r>
        <w:rPr>
          <w:rFonts w:ascii="方正仿宋_GBK" w:hAnsi="方正仿宋_GBK" w:cs="方正仿宋_GBK" w:hint="eastAsia"/>
          <w:color w:val="000000"/>
          <w:szCs w:val="32"/>
        </w:rPr>
        <w:t>，</w:t>
      </w:r>
      <w:r>
        <w:rPr>
          <w:rFonts w:ascii="方正仿宋_GBK" w:hAnsi="方正仿宋_GBK" w:cs="方正仿宋_GBK" w:hint="eastAsia"/>
          <w:color w:val="000000"/>
          <w:szCs w:val="32"/>
        </w:rPr>
        <w:t>指导村（居）开展辖区</w:t>
      </w:r>
      <w:r>
        <w:rPr>
          <w:rFonts w:ascii="方正仿宋_GBK" w:hAnsi="方正仿宋_GBK" w:cs="方正仿宋_GBK" w:hint="eastAsia"/>
          <w:color w:val="000000"/>
          <w:szCs w:val="32"/>
        </w:rPr>
        <w:t>党组织、群团和党员群众的服务性工作</w:t>
      </w:r>
      <w:r>
        <w:rPr>
          <w:rFonts w:ascii="方正仿宋_GBK" w:hAnsi="方正仿宋_GBK" w:cs="方正仿宋_GBK" w:hint="eastAsia"/>
          <w:color w:val="000000"/>
          <w:szCs w:val="32"/>
        </w:rPr>
        <w:t>。</w:t>
      </w:r>
    </w:p>
    <w:p w:rsidR="001C6DF5" w:rsidRDefault="00BA51B4">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（二）单位构成</w:t>
      </w:r>
    </w:p>
    <w:p w:rsidR="001C6DF5" w:rsidRDefault="00BA51B4">
      <w:pPr>
        <w:spacing w:line="600" w:lineRule="exact"/>
        <w:ind w:firstLineChars="200" w:firstLine="640"/>
        <w:rPr>
          <w:rFonts w:ascii="方正仿宋_GBK" w:hAnsi="仿宋_GB2312" w:cs="仿宋_GB2312"/>
        </w:rPr>
      </w:pPr>
      <w:r>
        <w:rPr>
          <w:rFonts w:ascii="方正仿宋_GBK" w:hAnsi="仿宋_GB2312" w:cs="仿宋_GB2312" w:hint="eastAsia"/>
        </w:rPr>
        <w:t>本单位未设置内部机构。</w:t>
      </w:r>
    </w:p>
    <w:p w:rsidR="001C6DF5" w:rsidRDefault="00BA51B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二、单位收支总体情况</w:t>
      </w:r>
    </w:p>
    <w:p w:rsidR="001C6DF5" w:rsidRDefault="00BA51B4">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99.44</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99.44</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1C6DF5" w:rsidRDefault="00BA51B4">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99.44</w:t>
      </w:r>
      <w:r>
        <w:rPr>
          <w:rFonts w:ascii="方正仿宋_GBK" w:hAnsi="仿宋_GB2312" w:cs="仿宋_GB2312" w:hint="eastAsia"/>
          <w:color w:val="000000" w:themeColor="text1"/>
        </w:rPr>
        <w:t>万元，其中：</w:t>
      </w:r>
      <w:r>
        <w:rPr>
          <w:rFonts w:ascii="方正仿宋_GBK" w:hAnsi="仿宋_GB2312" w:cs="仿宋_GB2312" w:hint="eastAsia"/>
          <w:color w:val="000000" w:themeColor="text1"/>
        </w:rPr>
        <w:t>一般公共服务支出预算</w:t>
      </w:r>
      <w:r>
        <w:rPr>
          <w:rFonts w:ascii="方正仿宋_GBK" w:hAnsi="仿宋_GB2312" w:cs="仿宋_GB2312" w:hint="eastAsia"/>
          <w:color w:val="000000" w:themeColor="text1"/>
        </w:rPr>
        <w:t>70.89</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，文化旅游体育与传媒支出</w:t>
      </w:r>
      <w:r>
        <w:rPr>
          <w:rFonts w:ascii="方正仿宋_GBK" w:hAnsi="仿宋_GB2312" w:cs="仿宋_GB2312" w:hint="eastAsia"/>
          <w:color w:val="000000" w:themeColor="text1"/>
        </w:rPr>
        <w:t>预算</w:t>
      </w:r>
      <w:r>
        <w:rPr>
          <w:rFonts w:ascii="方正仿宋_GBK" w:hAnsi="仿宋_GB2312" w:cs="仿宋_GB2312" w:hint="eastAsia"/>
          <w:color w:val="000000" w:themeColor="text1"/>
        </w:rPr>
        <w:t>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15.05</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4.54</w:t>
      </w:r>
      <w:r>
        <w:rPr>
          <w:rFonts w:ascii="方正仿宋_GBK" w:hAnsi="仿宋_GB2312" w:cs="仿宋_GB2312" w:hint="eastAsia"/>
          <w:color w:val="000000" w:themeColor="text1"/>
        </w:rPr>
        <w:t>万元，城乡社区支出预算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万元，住房保障支出预算</w:t>
      </w:r>
      <w:r>
        <w:rPr>
          <w:rFonts w:ascii="方正仿宋_GBK" w:hAnsi="仿宋_GB2312" w:cs="仿宋_GB2312" w:hint="eastAsia"/>
          <w:color w:val="000000" w:themeColor="text1"/>
        </w:rPr>
        <w:t>3.96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w:t>
      </w:r>
      <w:r>
        <w:rPr>
          <w:rFonts w:ascii="方正仿宋_GBK" w:hAnsi="仿宋_GB2312" w:cs="仿宋_GB2312" w:hint="eastAsia"/>
          <w:color w:val="000000" w:themeColor="text1"/>
        </w:rPr>
        <w:t>元，主要是基本支出预算</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lastRenderedPageBreak/>
        <w:t>项目支出预算</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1C6DF5" w:rsidRDefault="00BA51B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1C6DF5" w:rsidRDefault="00BA51B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99.44</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99.44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94.44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2.61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rPr>
        <w:t>主要原因是</w:t>
      </w:r>
      <w:r>
        <w:rPr>
          <w:rFonts w:ascii="方正仿宋_GBK" w:hAnsi="仿宋_GB2312" w:cs="仿宋_GB2312" w:hint="eastAsia"/>
          <w:color w:val="000000"/>
        </w:rPr>
        <w:t>机构改革调整，单位编制人数增加</w:t>
      </w:r>
      <w:r>
        <w:rPr>
          <w:rFonts w:ascii="方正仿宋_GBK" w:hAnsi="仿宋_GB2312" w:cs="仿宋_GB2312" w:hint="eastAsia"/>
          <w:color w:val="000000"/>
        </w:rPr>
        <w:t>，主要用于保</w:t>
      </w:r>
      <w:r>
        <w:rPr>
          <w:rFonts w:ascii="方正仿宋_GBK" w:hAnsi="仿宋_GB2312" w:cs="仿宋_GB2312"/>
          <w:color w:val="000000"/>
        </w:rPr>
        <w:t>障</w:t>
      </w:r>
      <w:r>
        <w:rPr>
          <w:rFonts w:ascii="方正仿宋_GBK" w:hAnsi="仿宋_GB2312" w:cs="仿宋_GB2312" w:hint="eastAsia"/>
          <w:color w:val="000000"/>
        </w:rPr>
        <w:t>部门</w:t>
      </w:r>
      <w:r>
        <w:rPr>
          <w:rFonts w:ascii="方正仿宋_GBK" w:hAnsi="仿宋_GB2312" w:cs="仿宋_GB2312" w:hint="eastAsia"/>
          <w:color w:val="000000" w:themeColor="text1"/>
        </w:rPr>
        <w:t>在职人员工资福利及社会保险缴费，</w:t>
      </w:r>
      <w:r>
        <w:rPr>
          <w:rFonts w:ascii="方正仿宋_GBK" w:hAnsi="仿宋_GB2312" w:cs="仿宋_GB2312"/>
          <w:color w:val="000000" w:themeColor="text1"/>
        </w:rPr>
        <w:t>退休人员</w:t>
      </w:r>
      <w:r>
        <w:rPr>
          <w:rFonts w:ascii="方正仿宋_GBK" w:hAnsi="仿宋_GB2312" w:cs="仿宋_GB2312" w:hint="eastAsia"/>
          <w:color w:val="000000" w:themeColor="text1"/>
        </w:rPr>
        <w:t>补助等，保障部门正常运转的各项商品服务支出；</w:t>
      </w:r>
      <w:r>
        <w:rPr>
          <w:rFonts w:ascii="方正仿宋_GBK" w:hAnsi="仿宋_GB2312" w:cs="仿宋_GB2312" w:hint="eastAsia"/>
          <w:color w:val="000000" w:themeColor="text1"/>
        </w:rPr>
        <w:t>项目支出</w:t>
      </w:r>
      <w:r>
        <w:rPr>
          <w:rFonts w:ascii="方正仿宋_GBK" w:hAnsi="仿宋_GB2312" w:cs="仿宋_GB2312" w:hint="eastAsia"/>
          <w:color w:val="000000" w:themeColor="text1"/>
        </w:rPr>
        <w:t>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1C6DF5" w:rsidRDefault="00BA51B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石板镇新时代文明实践服务中心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1C6DF5" w:rsidRDefault="00BA51B4">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1C6DF5" w:rsidRDefault="00BA51B4">
      <w:pPr>
        <w:spacing w:line="60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万元；公务用车购置费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1C6DF5" w:rsidRDefault="00BA51B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1C6DF5" w:rsidRDefault="00BA51B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color w:val="000000" w:themeColor="text1"/>
        </w:rPr>
        <w:t>我单位不在机关运行经费统计范围之内。</w:t>
      </w:r>
    </w:p>
    <w:p w:rsidR="001C6DF5" w:rsidRDefault="00BA51B4">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（二）政府采购情况。</w:t>
      </w:r>
      <w:r>
        <w:rPr>
          <w:rFonts w:ascii="方正仿宋_GBK" w:hAnsi="仿宋_GB2312" w:cs="仿宋_GB2312" w:hint="eastAsia"/>
          <w:color w:val="000000" w:themeColor="text1"/>
        </w:rPr>
        <w:t>本单位</w:t>
      </w:r>
      <w:r>
        <w:rPr>
          <w:rFonts w:ascii="方正仿宋_GBK" w:hAnsi="仿宋_GB2312" w:cs="仿宋_GB2312" w:hint="eastAsia"/>
          <w:color w:val="000000" w:themeColor="text1"/>
        </w:rPr>
        <w:t>无</w:t>
      </w:r>
      <w:r>
        <w:rPr>
          <w:rFonts w:ascii="方正仿宋_GBK" w:hAnsi="仿宋_GB2312" w:cs="仿宋_GB2312" w:hint="eastAsia"/>
          <w:color w:val="000000" w:themeColor="text1"/>
        </w:rPr>
        <w:t>政府采购预算。</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年项目支出均实行了绩效目标管理，涉及一般公共预算当年财政拨款</w:t>
      </w:r>
      <w:r>
        <w:rPr>
          <w:rFonts w:ascii="方正仿宋_GBK" w:hAnsi="仿宋_GB2312" w:cs="仿宋_GB2312" w:hint="eastAsia"/>
        </w:rPr>
        <w:t>5</w:t>
      </w:r>
      <w:r>
        <w:rPr>
          <w:rFonts w:ascii="方正仿宋_GBK" w:hAnsi="仿宋_GB2312" w:cs="仿宋_GB2312" w:hint="eastAsia"/>
        </w:rPr>
        <w:t>万元。</w:t>
      </w:r>
    </w:p>
    <w:p w:rsidR="001C6DF5" w:rsidRDefault="00BA51B4">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lastRenderedPageBreak/>
        <w:t>（四）国有资产占有使用情况。截止</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月，所属各预算单位</w:t>
      </w:r>
      <w:r>
        <w:rPr>
          <w:rFonts w:ascii="方正仿宋_GBK" w:hAnsi="仿宋_GB2312" w:cs="仿宋_GB2312" w:hint="eastAsia"/>
          <w:color w:val="0D0D0D"/>
        </w:rPr>
        <w:t>无</w:t>
      </w:r>
      <w:r>
        <w:rPr>
          <w:rFonts w:ascii="方正仿宋_GBK" w:hAnsi="仿宋_GB2312" w:cs="仿宋_GB2312" w:hint="eastAsia"/>
          <w:color w:val="0D0D0D"/>
        </w:rPr>
        <w:t>车辆。</w:t>
      </w:r>
      <w:r>
        <w:rPr>
          <w:rFonts w:ascii="方正仿宋_GBK" w:hAnsi="仿宋_GB2312" w:cs="仿宋_GB2312" w:hint="eastAsia"/>
          <w:color w:val="0D0D0D"/>
        </w:rPr>
        <w:t>2026</w:t>
      </w:r>
      <w:r>
        <w:rPr>
          <w:rFonts w:ascii="方正仿宋_GBK" w:hAnsi="仿宋_GB2312" w:cs="仿宋_GB2312" w:hint="eastAsia"/>
          <w:color w:val="0D0D0D"/>
        </w:rPr>
        <w:t>年一般公共预算</w:t>
      </w:r>
      <w:r>
        <w:rPr>
          <w:rFonts w:ascii="方正仿宋_GBK" w:hAnsi="仿宋_GB2312" w:cs="仿宋_GB2312" w:hint="eastAsia"/>
          <w:color w:val="0D0D0D"/>
        </w:rPr>
        <w:t>未</w:t>
      </w:r>
      <w:r>
        <w:rPr>
          <w:rFonts w:ascii="方正仿宋_GBK" w:hAnsi="仿宋_GB2312" w:cs="仿宋_GB2312" w:hint="eastAsia"/>
          <w:color w:val="0D0D0D"/>
        </w:rPr>
        <w:t>安排购置车辆。</w:t>
      </w:r>
    </w:p>
    <w:p w:rsidR="001C6DF5" w:rsidRDefault="00BA51B4">
      <w:pPr>
        <w:spacing w:line="60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w:t>
      </w:r>
      <w:proofErr w:type="gramStart"/>
      <w:r>
        <w:rPr>
          <w:rFonts w:ascii="方正仿宋_GBK" w:hAnsi="仿宋_GB2312" w:cs="仿宋_GB2312" w:hint="eastAsia"/>
        </w:rPr>
        <w:t>涉及财拨资金</w:t>
      </w:r>
      <w:proofErr w:type="gramEnd"/>
      <w:r>
        <w:rPr>
          <w:rFonts w:ascii="方正仿宋_GBK" w:hAnsi="仿宋_GB2312" w:cs="仿宋_GB2312" w:hint="eastAsia"/>
        </w:rPr>
        <w:t>18.39</w:t>
      </w:r>
      <w:r>
        <w:rPr>
          <w:rFonts w:ascii="方正仿宋_GBK" w:hAnsi="仿宋_GB2312" w:cs="仿宋_GB2312" w:hint="eastAsia"/>
        </w:rPr>
        <w:t>万元，主要用于政府采购、购买服务等</w:t>
      </w:r>
      <w:r>
        <w:rPr>
          <w:rFonts w:ascii="方正仿宋_GBK" w:hAnsi="仿宋_GB2312" w:cs="仿宋_GB2312" w:hint="eastAsia"/>
        </w:rPr>
        <w:t>日常</w:t>
      </w:r>
      <w:r>
        <w:rPr>
          <w:rFonts w:ascii="方正仿宋_GBK" w:hAnsi="仿宋_GB2312" w:cs="仿宋_GB2312" w:hint="eastAsia"/>
        </w:rPr>
        <w:t>支出。</w:t>
      </w:r>
    </w:p>
    <w:p w:rsidR="001C6DF5" w:rsidRDefault="00BA51B4">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六</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专业</w:t>
      </w:r>
      <w:proofErr w:type="gramStart"/>
      <w:r>
        <w:rPr>
          <w:rFonts w:ascii="方正黑体_GBK" w:eastAsia="方正黑体_GBK" w:hAnsi="黑体" w:cs="仿宋_GB2312" w:hint="eastAsia"/>
          <w:color w:val="000000" w:themeColor="text1"/>
        </w:rPr>
        <w:t>性名</w:t>
      </w:r>
      <w:proofErr w:type="gramEnd"/>
      <w:r>
        <w:rPr>
          <w:rFonts w:ascii="方正黑体_GBK" w:eastAsia="方正黑体_GBK" w:hAnsi="黑体" w:cs="仿宋_GB2312" w:hint="eastAsia"/>
          <w:color w:val="000000" w:themeColor="text1"/>
        </w:rPr>
        <w:t>词解释</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（四）上级补助收入：指从主管部门或上级单位取得的财政拨款以外的其他补助收入。单位结合上年度上级补助收入等情况进行预计。</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（五）附属单位上缴收入：</w:t>
      </w:r>
      <w:r>
        <w:rPr>
          <w:rFonts w:ascii="方正仿宋_GBK" w:hAnsi="仿宋_GB2312" w:cs="仿宋_GB2312" w:hint="eastAsia"/>
          <w:color w:val="000000"/>
        </w:rPr>
        <w:t>指本单位所属下级单位上缴给本单位的全部收入（包括下级事业单位上缴的事业收入、其他收入和下级企业单位上缴的利润等）。单位结合上年度附属单位上缴收入等情况商附属单位进行预计。</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（七）其他收入：指债务收入、投资收益等收入，单位根据情况合理预计，全部编入预算。</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w:t>
      </w:r>
      <w:r>
        <w:rPr>
          <w:rFonts w:ascii="方正仿宋_GBK" w:hAnsi="仿宋_GB2312" w:cs="仿宋_GB2312" w:hint="eastAsia"/>
          <w:color w:val="000000"/>
        </w:rPr>
        <w:t>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（九）基本支出：指为保障机构正常运转、完成日常工作任务而发生的人员经费和公用经费。其中：人员经费指政府收支分类经济科目中的“工资福利支出”和“对个人和家庭的补</w:t>
      </w:r>
      <w:r>
        <w:rPr>
          <w:rFonts w:ascii="方正仿宋_GBK" w:hAnsi="仿宋_GB2312" w:cs="仿宋_GB2312" w:hint="eastAsia"/>
          <w:color w:val="000000"/>
        </w:rPr>
        <w:t>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（十）项目支出：指在基本支出之外为完成特定行政任务和事业发展目标所发生的支出。</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（十一）“三公”经费：指用财政拨款安排的因公出国（境）费、公务用车购置及运行维护费、公务接待费。其中，</w:t>
      </w:r>
      <w:r>
        <w:rPr>
          <w:rFonts w:ascii="方正仿宋_GBK" w:hAnsi="仿宋_GB2312" w:cs="仿宋_GB2312" w:hint="eastAsia"/>
          <w:color w:val="000000"/>
        </w:rPr>
        <w:lastRenderedPageBreak/>
        <w:t>因公出国（境）</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单位公务出国（境）的国际旅费、国外城市间交通费、住宿费、伙食费、培训费、公杂费等支出；公务用车购置</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单位公务用车购置支出（</w:t>
      </w:r>
      <w:proofErr w:type="gramStart"/>
      <w:r>
        <w:rPr>
          <w:rFonts w:ascii="方正仿宋_GBK" w:hAnsi="仿宋_GB2312" w:cs="仿宋_GB2312" w:hint="eastAsia"/>
          <w:color w:val="000000"/>
        </w:rPr>
        <w:t>含车辆</w:t>
      </w:r>
      <w:proofErr w:type="gramEnd"/>
      <w:r>
        <w:rPr>
          <w:rFonts w:ascii="方正仿宋_GBK" w:hAnsi="仿宋_GB2312" w:cs="仿宋_GB2312" w:hint="eastAsia"/>
          <w:color w:val="000000"/>
        </w:rPr>
        <w:t>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w:t>
      </w:r>
      <w:r>
        <w:rPr>
          <w:rFonts w:ascii="方正仿宋_GBK" w:hAnsi="仿宋_GB2312" w:cs="仿宋_GB2312" w:hint="eastAsia"/>
          <w:color w:val="000000"/>
        </w:rPr>
        <w:t>、保险费、安全奖励费用等支出；公务接待</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单位按规定开支的各类公务接待（含外宾接待）支出。</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（十三）工资福利支出（支出经济分类科目类级）：反映单位开支的在职职工和编制</w:t>
      </w:r>
      <w:proofErr w:type="gramStart"/>
      <w:r>
        <w:rPr>
          <w:rFonts w:ascii="方正仿宋_GBK" w:hAnsi="仿宋_GB2312" w:cs="仿宋_GB2312" w:hint="eastAsia"/>
          <w:color w:val="000000"/>
        </w:rPr>
        <w:t>外长期</w:t>
      </w:r>
      <w:proofErr w:type="gramEnd"/>
      <w:r>
        <w:rPr>
          <w:rFonts w:ascii="方正仿宋_GBK" w:hAnsi="仿宋_GB2312" w:cs="仿宋_GB2312" w:hint="eastAsia"/>
          <w:color w:val="000000"/>
        </w:rPr>
        <w:t>聘用人员的各类劳动报酬，以及为上述人员缴纳的各项社会保险费等。</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（十四）</w:t>
      </w:r>
      <w:r>
        <w:rPr>
          <w:rFonts w:ascii="方正仿宋_GBK" w:hAnsi="仿宋_GB2312" w:cs="仿宋_GB2312" w:hint="eastAsia"/>
          <w:color w:val="000000"/>
        </w:rPr>
        <w:t>商品和服务支出（支出经济分类科目类级）：反映单位购买商品和服务的支出（不包括用于购置固定资产的支出、战略性和应急储备支出）。</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（十五）对个人和家庭的补助（支出经济分类科目类级）：反映用于对个人和家庭的补助支出。</w:t>
      </w:r>
    </w:p>
    <w:p w:rsidR="001C6DF5" w:rsidRDefault="00BA51B4">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（十六）其他资本性支出（支出经济分类科目类级）：反映非本级发展与改革部门集中安排的用于购置固定资产、</w:t>
      </w:r>
      <w:r>
        <w:rPr>
          <w:rFonts w:ascii="方正仿宋_GBK" w:hAnsi="仿宋_GB2312" w:cs="仿宋_GB2312" w:hint="eastAsia"/>
          <w:color w:val="000000"/>
        </w:rPr>
        <w:lastRenderedPageBreak/>
        <w:t>战略性和应急性储备、土地和无形资产，以及构建基础设施、大型修缮和财政支持企业更新改造所发生的支出。</w:t>
      </w:r>
    </w:p>
    <w:p w:rsidR="001C6DF5" w:rsidRDefault="001C6DF5">
      <w:pPr>
        <w:spacing w:line="600" w:lineRule="exact"/>
        <w:ind w:firstLineChars="200" w:firstLine="640"/>
        <w:rPr>
          <w:rFonts w:ascii="方正仿宋_GBK" w:hAnsi="仿宋_GB2312" w:cs="仿宋_GB2312"/>
          <w:color w:val="000000" w:themeColor="text1"/>
        </w:rPr>
      </w:pPr>
    </w:p>
    <w:p w:rsidR="001C6DF5" w:rsidRDefault="00BA51B4">
      <w:pPr>
        <w:rPr>
          <w:rFonts w:ascii="方正仿宋_GBK"/>
          <w:szCs w:val="32"/>
        </w:rPr>
      </w:pPr>
      <w:r>
        <w:rPr>
          <w:rFonts w:ascii="方正仿宋_GBK" w:hint="eastAsia"/>
          <w:szCs w:val="32"/>
        </w:rPr>
        <w:t>部门预算公开联系人：戚茂娇</w:t>
      </w:r>
      <w:r w:rsidR="008928EE">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1C6DF5" w:rsidRDefault="001C6DF5"/>
    <w:sectPr w:rsidR="001C6DF5">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B4" w:rsidRDefault="00BA51B4">
      <w:r>
        <w:separator/>
      </w:r>
    </w:p>
  </w:endnote>
  <w:endnote w:type="continuationSeparator" w:id="0">
    <w:p w:rsidR="00BA51B4" w:rsidRDefault="00BA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DF5" w:rsidRDefault="00BA51B4">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1C6DF5" w:rsidRDefault="00BA51B4">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8928EE">
                  <w:rPr>
                    <w:rFonts w:ascii="方正仿宋_GBK" w:hAnsi="方正仿宋_GBK" w:cs="方正仿宋_GBK"/>
                    <w:noProof/>
                    <w:sz w:val="32"/>
                    <w:szCs w:val="32"/>
                  </w:rPr>
                  <w:t>- 6 -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B4" w:rsidRDefault="00BA51B4">
      <w:r>
        <w:separator/>
      </w:r>
    </w:p>
  </w:footnote>
  <w:footnote w:type="continuationSeparator" w:id="0">
    <w:p w:rsidR="00BA51B4" w:rsidRDefault="00BA5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471A2"/>
    <w:rsid w:val="A77F2D4D"/>
    <w:rsid w:val="AFFC2F91"/>
    <w:rsid w:val="B997D3D9"/>
    <w:rsid w:val="BDE8B9D1"/>
    <w:rsid w:val="BEB5B71D"/>
    <w:rsid w:val="BEFB139A"/>
    <w:rsid w:val="DFE70B47"/>
    <w:rsid w:val="E7F2FF03"/>
    <w:rsid w:val="E93F27C2"/>
    <w:rsid w:val="EE67EE9B"/>
    <w:rsid w:val="EEFF8F3D"/>
    <w:rsid w:val="EFC745CF"/>
    <w:rsid w:val="F9273EE8"/>
    <w:rsid w:val="FBDF1D0E"/>
    <w:rsid w:val="FDED15EE"/>
    <w:rsid w:val="FFEF6478"/>
    <w:rsid w:val="001C6DF5"/>
    <w:rsid w:val="00312421"/>
    <w:rsid w:val="005B6F56"/>
    <w:rsid w:val="00702FA3"/>
    <w:rsid w:val="008928EE"/>
    <w:rsid w:val="009D2257"/>
    <w:rsid w:val="009D47E5"/>
    <w:rsid w:val="00AA7B8E"/>
    <w:rsid w:val="00AB370D"/>
    <w:rsid w:val="00BA51B4"/>
    <w:rsid w:val="00F471A2"/>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B59AB0B"/>
    <w:rsid w:val="2D0578E5"/>
    <w:rsid w:val="344E7C6B"/>
    <w:rsid w:val="39750D3E"/>
    <w:rsid w:val="3F3B3618"/>
    <w:rsid w:val="42860DA7"/>
    <w:rsid w:val="4F7D6304"/>
    <w:rsid w:val="500A7D66"/>
    <w:rsid w:val="586B6A4E"/>
    <w:rsid w:val="59FA3F79"/>
    <w:rsid w:val="6BFF778B"/>
    <w:rsid w:val="6E886FF6"/>
    <w:rsid w:val="6FFF2DDA"/>
    <w:rsid w:val="72D38B6D"/>
    <w:rsid w:val="7ADAAFA5"/>
    <w:rsid w:val="7B5E5DE9"/>
    <w:rsid w:val="7FFE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kern w:val="0"/>
      <w:sz w:val="24"/>
    </w:rPr>
  </w:style>
  <w:style w:type="character" w:styleId="a6">
    <w:name w:val="Hyperlink"/>
    <w:basedOn w:val="a0"/>
    <w:uiPriority w:val="99"/>
    <w:unhideWhenUsed/>
    <w:qFormat/>
    <w:rPr>
      <w:color w:val="0000FF"/>
      <w:u w:val="single"/>
    </w:rPr>
  </w:style>
  <w:style w:type="paragraph" w:styleId="a7">
    <w:name w:val="List Paragraph"/>
    <w:basedOn w:val="a"/>
    <w:uiPriority w:val="34"/>
    <w:qFormat/>
    <w:pPr>
      <w:ind w:firstLineChars="200" w:firstLine="420"/>
    </w:pPr>
    <w:rPr>
      <w:rFonts w:ascii="仿宋" w:eastAsia="仿宋" w:hAnsi="仿宋"/>
      <w:sz w:val="28"/>
      <w:szCs w:val="22"/>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2259</Characters>
  <Application>Microsoft Office Word</Application>
  <DocSecurity>0</DocSecurity>
  <Lines>18</Lines>
  <Paragraphs>5</Paragraphs>
  <ScaleCrop>false</ScaleCrop>
  <Company>CHINA</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cp:revision>
  <cp:lastPrinted>2023-04-23T11:42:00Z</cp:lastPrinted>
  <dcterms:created xsi:type="dcterms:W3CDTF">2022-04-24T15:33:00Z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