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eastAsia" w:ascii="方正小标宋_GBK" w:hAnsi="宋体" w:eastAsia="方正小标宋_GBK" w:cs="Times New Roman"/>
          <w:bCs/>
          <w:kern w:val="2"/>
          <w:sz w:val="44"/>
          <w:szCs w:val="44"/>
          <w:lang w:val="zh-CN"/>
        </w:rPr>
        <w:t>石板镇文化服务中心</w:t>
      </w:r>
    </w:p>
    <w:p>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方正小标宋_GBK" w:hAnsi="宋体" w:eastAsia="方正小标宋_GBK" w:cs="Times New Roman"/>
          <w:bCs/>
          <w:kern w:val="2"/>
          <w:sz w:val="44"/>
          <w:szCs w:val="44"/>
          <w:lang w:val="zh-CN"/>
        </w:rPr>
      </w:pPr>
      <w:r>
        <w:rPr>
          <w:rFonts w:hint="default" w:ascii="方正小标宋_GBK" w:hAnsi="宋体" w:eastAsia="方正小标宋_GBK" w:cs="Times New Roman"/>
          <w:bCs/>
          <w:kern w:val="2"/>
          <w:sz w:val="44"/>
          <w:szCs w:val="44"/>
          <w:lang w:val="zh-CN"/>
        </w:rPr>
        <w:t>2024</w:t>
      </w:r>
      <w:r>
        <w:rPr>
          <w:rFonts w:hint="eastAsia" w:ascii="方正小标宋_GBK" w:hAnsi="宋体" w:eastAsia="方正小标宋_GBK" w:cs="Times New Roman"/>
          <w:bCs/>
          <w:kern w:val="2"/>
          <w:sz w:val="44"/>
          <w:szCs w:val="44"/>
          <w:lang w:val="zh-CN"/>
        </w:rPr>
        <w:t>年度决算公开说明</w:t>
      </w:r>
    </w:p>
    <w:p>
      <w:pPr>
        <w:pStyle w:val="11"/>
        <w:shd w:val="clear" w:color="auto" w:fill="FFFFFF"/>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一、单位基本情况</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（一）职能职责</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石板镇文化服务中心主要承担教育、文化、旅游、体育、科技培训等方面的事务性工作。</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（二）机构设置</w:t>
      </w:r>
    </w:p>
    <w:p>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石板镇文化服务中心独立核算机构为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个，单位类型为财政全额拨款的公益一类事业单位，一般公共预算财政拨款开支人数为2人。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二、单位决算收支情况说明</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（一）收入支出决算总体情况说明</w:t>
      </w:r>
    </w:p>
    <w:p>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年度收入、支出总计均为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82.82</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收</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入</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、支</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出</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与2023年度相比，增加27.21万元，增长48.9%</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、文化活动开展等。</w:t>
      </w:r>
    </w:p>
    <w:p>
      <w:pPr>
        <w:pStyle w:val="11"/>
        <w:keepNext w:val="0"/>
        <w:keepLines w:val="0"/>
        <w:pageBreakBefore w:val="0"/>
        <w:shd w:val="clear" w:color="auto" w:fill="FFFFFF"/>
        <w:kinsoku/>
        <w:wordWrap/>
        <w:bidi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1.收入情况。2024年度收入合计82.82万元，与2023年度相比，增加27.21万元，增长48.9%，主要原因是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、文化活动开展等</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。其中：财政拨款收入82.82万元，占100%；事业收入</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%；经营收入</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%；其他收入</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万元，占</w:t>
      </w:r>
      <w:r>
        <w:rPr>
          <w:rFonts w:hint="eastAsia"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bidi="ar-SA"/>
          <w14:textFill>
            <w14:solidFill>
              <w14:schemeClr w14:val="tx1"/>
            </w14:solidFill>
          </w14:textFill>
        </w:rPr>
        <w:t>%。</w:t>
      </w:r>
      <w:r>
        <w:rPr>
          <w:rFonts w:ascii="方正仿宋_GBK" w:hAnsi="方正仿宋_GBK" w:eastAsia="方正仿宋_GBK" w:cs="方正仿宋_GBK"/>
          <w:sz w:val="32"/>
          <w:szCs w:val="32"/>
          <w:shd w:val="clear" w:color="auto" w:fill="FFFFFF"/>
        </w:rPr>
        <w:t>此外，使用非财政拨款结余（含专用结余）</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Times New Roman" w:hAnsi="Times New Roman" w:eastAsia="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年度支出合计</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82.82</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与2023年度相比，增加27.21万元，增长48.9%</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、文化活动开展等。其中：基本支出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68.35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82.5%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14.47</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万元，占</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17.5%</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；经营支出0万元，占0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。此外，结余分配0万元。</w:t>
      </w:r>
    </w:p>
    <w:p>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3.结转结余情况。</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年度年末结转和结余0万元，较上年决算数无增减。</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（二）财政拨款收入支出决算总体情况说明</w:t>
      </w:r>
    </w:p>
    <w:p>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2024</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年度财政拨款收入、支出总计均为</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82.82</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万元。与</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2023</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年度相比，</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财政拨款收、支总计各增加27.21万元，增长48.9%</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、文化活动开展等。</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（三）一般公共预算财政拨款收入支出决算情况说明</w:t>
      </w:r>
    </w:p>
    <w:p>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1.收入情况。2024年度一般公共预算财政拨款收入82.82万元，与2023年度相比，增加27.21万元，增长48.9%。主要原因是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、文化活动开展等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。较年初预算数增加49.73万元，增长150.3%</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其他文化和旅游支出增加等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。此外，年初财政拨款结转和结余</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0</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万元。</w:t>
      </w:r>
    </w:p>
    <w:p>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pP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2.支出情况。2024年度一般公共预算财政拨款支出82.82万元，与2023年度相比，增加27.21万元，增长48.9%。主要原因是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、文化活动开展等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。较年初预算数增加49.73万元，增长150.3%。主要原因是</w:t>
      </w: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其他文化和旅游支出增加等</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hint="default" w:ascii="方正仿宋_GBK" w:hAnsi="方正仿宋_GBK" w:eastAsia="方正仿宋_GBK" w:cs="方正仿宋_GBK"/>
          <w:sz w:val="32"/>
          <w:szCs w:val="32"/>
          <w:shd w:val="clear" w:color="auto" w:fill="FFFFFF"/>
        </w:rPr>
        <w:t>69.83</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84.3%</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较年初预算数增加44.95万元，增长180.7%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增加文服中心免费开放补助，增加各项活动支出，如全民运动会、流动文化进村（社区）等活动支出</w:t>
      </w:r>
      <w:r>
        <w:rPr>
          <w:rFonts w:ascii="方正仿宋_GBK" w:hAnsi="方正仿宋_GBK" w:eastAsia="方正仿宋_GBK" w:cs="方正仿宋_GBK"/>
          <w:sz w:val="32"/>
          <w:szCs w:val="32"/>
          <w:shd w:val="clear" w:color="auto" w:fill="FFFFFF"/>
        </w:rPr>
        <w:t>。</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）社会保障和就业支出</w:t>
      </w:r>
      <w:r>
        <w:rPr>
          <w:rFonts w:hint="default" w:ascii="方正仿宋_GBK" w:hAnsi="方正仿宋_GBK" w:eastAsia="方正仿宋_GBK" w:cs="方正仿宋_GBK"/>
          <w:sz w:val="32"/>
          <w:szCs w:val="32"/>
          <w:shd w:val="clear" w:color="auto" w:fill="FFFFFF"/>
        </w:rPr>
        <w:t>9.11</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11.0%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较年初预算数增加3.19万元，增长53.9%</w:t>
      </w:r>
      <w:r>
        <w:rPr>
          <w:rFonts w:ascii="方正仿宋_GBK" w:hAnsi="方正仿宋_GBK" w:eastAsia="方正仿宋_GBK" w:cs="方正仿宋_GBK"/>
          <w:sz w:val="32"/>
          <w:szCs w:val="32"/>
          <w:shd w:val="clear" w:color="auto" w:fill="FFFFFF"/>
        </w:rPr>
        <w:t>，主要原因是</w:t>
      </w:r>
      <w:r>
        <w:rPr>
          <w:rFonts w:hint="eastAsia" w:ascii="方正仿宋_GBK" w:eastAsia="方正仿宋_GBK" w:cs="Times New Roman"/>
          <w:color w:val="000000"/>
          <w:sz w:val="32"/>
          <w:szCs w:val="32"/>
          <w:lang w:val="en-US" w:eastAsia="zh-CN"/>
        </w:rPr>
        <w:t>政策性调整支出</w:t>
      </w:r>
      <w:r>
        <w:rPr>
          <w:rFonts w:ascii="方正仿宋_GBK" w:hAnsi="方正仿宋_GBK" w:eastAsia="方正仿宋_GBK" w:cs="方正仿宋_GBK"/>
          <w:sz w:val="32"/>
          <w:szCs w:val="32"/>
          <w:shd w:val="clear" w:color="auto" w:fill="FFFFFF"/>
        </w:rPr>
        <w:t>。</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较年初预算数增加0.81万元，增长66.9%</w:t>
      </w:r>
      <w:r>
        <w:rPr>
          <w:rFonts w:ascii="方正仿宋_GBK" w:hAnsi="方正仿宋_GBK" w:eastAsia="方正仿宋_GBK" w:cs="方正仿宋_GBK"/>
          <w:sz w:val="32"/>
          <w:szCs w:val="32"/>
          <w:shd w:val="clear" w:color="auto" w:fill="FFFFFF"/>
        </w:rPr>
        <w:t>，主要原因是</w:t>
      </w:r>
      <w:r>
        <w:rPr>
          <w:rFonts w:hint="eastAsia" w:ascii="方正仿宋_GBK" w:eastAsia="方正仿宋_GBK" w:cs="Times New Roman"/>
          <w:color w:val="000000"/>
          <w:sz w:val="32"/>
          <w:szCs w:val="32"/>
          <w:lang w:val="en-US" w:eastAsia="zh-CN"/>
        </w:rPr>
        <w:t>政策性调整支出</w:t>
      </w:r>
      <w:r>
        <w:rPr>
          <w:rFonts w:ascii="方正仿宋_GBK" w:hAnsi="方正仿宋_GBK" w:eastAsia="方正仿宋_GBK" w:cs="方正仿宋_GBK"/>
          <w:sz w:val="32"/>
          <w:szCs w:val="32"/>
          <w:shd w:val="clear" w:color="auto" w:fill="FFFFFF"/>
        </w:rPr>
        <w:t>。</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）住房保障支出</w:t>
      </w:r>
      <w:r>
        <w:rPr>
          <w:rFonts w:hint="default" w:ascii="方正仿宋_GBK" w:hAnsi="方正仿宋_GBK" w:eastAsia="方正仿宋_GBK" w:cs="方正仿宋_GBK"/>
          <w:sz w:val="32"/>
          <w:szCs w:val="32"/>
          <w:shd w:val="clear" w:color="auto" w:fill="FFFFFF"/>
        </w:rPr>
        <w:t>1.86</w:t>
      </w:r>
      <w:r>
        <w:rPr>
          <w:rFonts w:ascii="方正仿宋_GBK" w:hAnsi="方正仿宋_GBK" w:eastAsia="方正仿宋_GBK" w:cs="方正仿宋_GBK"/>
          <w:sz w:val="32"/>
          <w:szCs w:val="32"/>
          <w:shd w:val="clear" w:color="auto" w:fill="FFFFFF"/>
        </w:rPr>
        <w:t>万元，占</w:t>
      </w:r>
      <w:r>
        <w:rPr>
          <w:rFonts w:hint="default" w:ascii="方正仿宋_GBK" w:hAnsi="方正仿宋_GBK" w:eastAsia="方正仿宋_GBK" w:cs="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较年初预算数增加0.78万元，增长72.2%</w:t>
      </w:r>
      <w:r>
        <w:rPr>
          <w:rFonts w:ascii="方正仿宋_GBK" w:hAnsi="方正仿宋_GBK" w:eastAsia="方正仿宋_GBK" w:cs="方正仿宋_GBK"/>
          <w:sz w:val="32"/>
          <w:szCs w:val="32"/>
          <w:shd w:val="clear" w:color="auto" w:fill="FFFFFF"/>
        </w:rPr>
        <w:t>，主要</w:t>
      </w:r>
      <w:bookmarkStart w:id="0" w:name="_GoBack"/>
      <w:bookmarkEnd w:id="0"/>
      <w:r>
        <w:rPr>
          <w:rFonts w:ascii="方正仿宋_GBK" w:hAnsi="方正仿宋_GBK" w:eastAsia="方正仿宋_GBK" w:cs="方正仿宋_GBK"/>
          <w:sz w:val="32"/>
          <w:szCs w:val="32"/>
          <w:shd w:val="clear" w:color="auto" w:fill="FFFFFF"/>
        </w:rPr>
        <w:t>原因是</w:t>
      </w:r>
      <w:r>
        <w:rPr>
          <w:rFonts w:hint="eastAsia" w:ascii="方正仿宋_GBK" w:eastAsia="方正仿宋_GBK" w:cs="Times New Roman"/>
          <w:color w:val="000000"/>
          <w:sz w:val="32"/>
          <w:szCs w:val="32"/>
          <w:lang w:val="en-US" w:eastAsia="zh-CN"/>
        </w:rPr>
        <w:t>政策性调整支出</w:t>
      </w:r>
      <w:r>
        <w:rPr>
          <w:rFonts w:ascii="方正仿宋_GBK" w:hAnsi="方正仿宋_GBK" w:eastAsia="方正仿宋_GBK" w:cs="方正仿宋_GBK"/>
          <w:sz w:val="32"/>
          <w:szCs w:val="32"/>
          <w:shd w:val="clear" w:color="auto" w:fill="FFFFFF"/>
        </w:rPr>
        <w:t>。</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.结转结余情况。</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较上年决算数无增减。</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（四）一般公共预算财政拨款基本支出决算情况说明</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2024年度一般公共财政拨款基本支出68.35万元。其中：</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人员经费60.1万元，与2023年度相比，增加22.36万元，增长59.3%，主要原因是</w:t>
      </w:r>
      <w:r>
        <w:rPr>
          <w:rFonts w:hint="eastAsia" w:ascii="方正仿宋_GBK" w:eastAsia="方正仿宋_GBK" w:cs="Times New Roman"/>
          <w:color w:val="000000"/>
          <w:sz w:val="32"/>
          <w:szCs w:val="32"/>
          <w:lang w:val="en-US" w:eastAsia="zh-CN"/>
        </w:rPr>
        <w:t>政策性调整支出</w:t>
      </w:r>
      <w:r>
        <w:rPr>
          <w:rFonts w:hint="eastAsia" w:ascii="方正仿宋_GBK" w:hAnsi="方正仿宋_GBK" w:eastAsia="方正仿宋_GBK" w:cs="方正仿宋_GBK"/>
          <w:sz w:val="32"/>
          <w:szCs w:val="32"/>
          <w:shd w:val="clear" w:color="auto" w:fill="FFFFFF"/>
          <w:lang w:val="en-US" w:eastAsia="zh-CN"/>
        </w:rPr>
        <w:t>等</w:t>
      </w:r>
      <w:r>
        <w:rPr>
          <w:rFonts w:hint="default"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基本工资、津贴补贴、社会保障缴费、绩效工资、其他工资福利支出、对个人和家庭的补助支出等</w:t>
      </w:r>
      <w:r>
        <w:rPr>
          <w:rFonts w:hint="default" w:ascii="方正仿宋_GBK" w:hAnsi="方正仿宋_GBK" w:eastAsia="方正仿宋_GBK" w:cs="方正仿宋_GBK"/>
          <w:sz w:val="32"/>
          <w:szCs w:val="32"/>
          <w:shd w:val="clear" w:color="auto" w:fill="FFFFFF"/>
        </w:rPr>
        <w:t>。</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方正仿宋_GBK" w:hAnsi="方正仿宋_GBK" w:eastAsia="方正仿宋_GBK" w:cs="方正仿宋_GBK"/>
          <w:sz w:val="32"/>
          <w:szCs w:val="32"/>
          <w:shd w:val="clear" w:color="auto" w:fill="FFFFFF"/>
        </w:rPr>
        <w:t>8.26</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与2023年度相比，增加0.91万元，增长12.4%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新增编制人员</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办公费、印刷费、差旅费、维修（护）费、劳务费、邮电费、水费、电费、其他商品和服务支出、办公设备购置等</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（五）政府性基金预算收支决算情况说明</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6"/>
        <w:keepNext w:val="0"/>
        <w:keepLines w:val="0"/>
        <w:pageBreakBefore w:val="0"/>
        <w:kinsoku/>
        <w:wordWrap/>
        <w:autoSpaceDE w:val="0"/>
        <w:bidi w:val="0"/>
        <w:spacing w:line="600" w:lineRule="exact"/>
        <w:ind w:firstLine="643"/>
        <w:jc w:val="left"/>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三、财政拨款“三公”经费情况说明</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（一）“三公”经费支出总体情况说明</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（二）“三公”经费分项支出情况</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万元，费用支出较年初预算数无增减，较上年支出数无增减。</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公务用车购置费0万元，费用支出较年初预算数无增减，较上年支出数无增减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公务用车运行维护费</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万元，费用支出较年初预算数无增减，较上年支出数无增减。</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万元，费用支出较年初预算数无增减，较上年支出数无增减。</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（三）“三公”经费实物量情况</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人均接待费0元，车均购置费0万元，车均维护费0万元。</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四、其他需要说明的事项</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（一）财政拨款会议费、培训费和差旅费情况说明</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万元，与2023年度相比，无增减。本年度培训费支出</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万元，与2023年度相比，减少0.05万元，下降100%，主要原因是</w:t>
      </w:r>
      <w:r>
        <w:rPr>
          <w:rFonts w:hint="eastAsia" w:ascii="方正仿宋_GBK" w:hAnsi="方正仿宋_GBK" w:eastAsia="方正仿宋_GBK" w:cs="方正仿宋_GBK"/>
          <w:sz w:val="32"/>
          <w:szCs w:val="32"/>
          <w:shd w:val="clear" w:color="auto" w:fill="FFFFFF"/>
        </w:rPr>
        <w:t>采用灵活培训方式，减少</w:t>
      </w:r>
      <w:r>
        <w:rPr>
          <w:rFonts w:hint="eastAsia" w:ascii="方正仿宋_GBK" w:hAnsi="方正仿宋_GBK" w:eastAsia="方正仿宋_GBK" w:cs="方正仿宋_GBK"/>
          <w:sz w:val="32"/>
          <w:szCs w:val="32"/>
          <w:shd w:val="clear" w:color="auto" w:fill="FFFFFF"/>
          <w:lang w:eastAsia="zh-CN"/>
        </w:rPr>
        <w:t>单位内部</w:t>
      </w:r>
      <w:r>
        <w:rPr>
          <w:rFonts w:hint="eastAsia" w:ascii="方正仿宋_GBK" w:hAnsi="方正仿宋_GBK" w:eastAsia="方正仿宋_GBK" w:cs="方正仿宋_GBK"/>
          <w:sz w:val="32"/>
          <w:szCs w:val="32"/>
          <w:shd w:val="clear" w:color="auto" w:fill="FFFFFF"/>
        </w:rPr>
        <w:t>培训次数</w:t>
      </w:r>
      <w:r>
        <w:rPr>
          <w:rFonts w:hint="default" w:ascii="方正仿宋_GBK" w:hAnsi="方正仿宋_GBK" w:eastAsia="方正仿宋_GBK" w:cs="方正仿宋_GBK"/>
          <w:sz w:val="32"/>
          <w:szCs w:val="32"/>
          <w:shd w:val="clear" w:color="auto" w:fill="FFFFFF"/>
        </w:rPr>
        <w:t>。本年度差旅费支出</w:t>
      </w:r>
      <w:r>
        <w:rPr>
          <w:rFonts w:hint="eastAsia" w:ascii="方正仿宋_GBK" w:hAnsi="方正仿宋_GBK" w:eastAsia="方正仿宋_GBK" w:cs="方正仿宋_GBK"/>
          <w:sz w:val="32"/>
          <w:szCs w:val="32"/>
          <w:shd w:val="clear" w:color="auto" w:fill="FFFFFF"/>
          <w:lang w:val="en-US" w:eastAsia="zh-CN"/>
        </w:rPr>
        <w:t>0</w:t>
      </w:r>
      <w:r>
        <w:rPr>
          <w:rFonts w:hint="default" w:ascii="方正仿宋_GBK" w:hAnsi="方正仿宋_GBK" w:eastAsia="方正仿宋_GBK" w:cs="方正仿宋_GBK"/>
          <w:sz w:val="32"/>
          <w:szCs w:val="32"/>
          <w:shd w:val="clear" w:color="auto" w:fill="FFFFFF"/>
        </w:rPr>
        <w:t>万元，与2023年度相比，无增减。</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（二）机关运行经费情况说明</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（三）国有资产占用情况说明</w:t>
      </w:r>
    </w:p>
    <w:p>
      <w:pPr>
        <w:pStyle w:val="11"/>
        <w:keepNext w:val="0"/>
        <w:keepLines w:val="0"/>
        <w:pageBreakBefore w:val="0"/>
        <w:kinsoku/>
        <w:wordWrap/>
        <w:bidi w:val="0"/>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截至2024年12月31日，本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kern w:val="0"/>
          <w:sz w:val="32"/>
          <w:szCs w:val="32"/>
          <w:lang w:val="zh-CN" w:eastAsia="zh-CN"/>
        </w:rPr>
      </w:pPr>
      <w:r>
        <w:rPr>
          <w:rFonts w:hint="eastAsia" w:ascii="方正楷体_GBK" w:hAnsi="方正楷体_GBK" w:eastAsia="方正楷体_GBK" w:cs="方正楷体_GBK"/>
          <w:kern w:val="0"/>
          <w:sz w:val="32"/>
          <w:szCs w:val="32"/>
          <w:lang w:val="zh-CN" w:eastAsia="zh-CN"/>
        </w:rPr>
        <w:t>（四）政府采购支出情况说明</w:t>
      </w:r>
    </w:p>
    <w:p>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ascii="方正仿宋_GBK" w:hAnsi="仿宋_GB2312" w:eastAsia="方正仿宋_GBK" w:cs="仿宋_GB2312"/>
          <w:snapToGrid w:val="0"/>
          <w:color w:val="000000" w:themeColor="text1"/>
          <w:sz w:val="32"/>
          <w:szCs w:val="32"/>
          <w:lang w:val="zh-CN" w:eastAsia="zh-CN"/>
          <w14:textFill>
            <w14:solidFill>
              <w14:schemeClr w14:val="tx1"/>
            </w14:solidFill>
          </w14:textFill>
        </w:rPr>
      </w:pPr>
      <w:r>
        <w:rPr>
          <w:rFonts w:hint="default"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未发生政府采购事项，无相关经费支出</w:t>
      </w:r>
      <w:r>
        <w:rPr>
          <w:rFonts w:hint="eastAsia" w:ascii="方正仿宋_GBK" w:hAnsi="仿宋_GB2312" w:eastAsia="方正仿宋_GBK" w:cs="仿宋_GB2312"/>
          <w:snapToGrid w:val="0"/>
          <w:color w:val="000000" w:themeColor="text1"/>
          <w:sz w:val="32"/>
          <w:szCs w:val="32"/>
          <w:lang w:val="zh-CN" w:eastAsia="zh-CN"/>
          <w14:textFill>
            <w14:solidFill>
              <w14:schemeClr w14:val="tx1"/>
            </w14:solidFill>
          </w14:textFill>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rPr>
      </w:pPr>
      <w:r>
        <w:rPr>
          <w:rFonts w:hint="eastAsia" w:ascii="方正黑体_GBK" w:hAnsi="方正黑体_GBK" w:eastAsia="方正黑体_GBK" w:cs="方正黑体_GBK"/>
          <w:b w:val="0"/>
          <w:bCs w:val="0"/>
          <w:kern w:val="2"/>
          <w:sz w:val="32"/>
          <w:szCs w:val="32"/>
          <w:lang w:val="zh-CN" w:eastAsia="zh-CN"/>
        </w:rPr>
        <w:t>五、2024年度预算绩效管理情况说明</w:t>
      </w:r>
    </w:p>
    <w:p>
      <w:pPr>
        <w:keepNext w:val="0"/>
        <w:keepLines w:val="0"/>
        <w:pageBreakBefore w:val="0"/>
        <w:widowControl w:val="0"/>
        <w:kinsoku/>
        <w:wordWrap/>
        <w:autoSpaceDE w:val="0"/>
        <w:autoSpaceDN w:val="0"/>
        <w:bidi w:val="0"/>
        <w:adjustRightInd w:val="0"/>
        <w:spacing w:line="600" w:lineRule="exact"/>
        <w:ind w:firstLine="643" w:firstLineChars="200"/>
        <w:jc w:val="left"/>
        <w:textAlignment w:val="auto"/>
        <w:rPr>
          <w:rStyle w:val="15"/>
          <w:rFonts w:hint="eastAsia" w:ascii="方正楷体_GBK" w:hAnsi="方正楷体_GBK" w:eastAsia="方正楷体_GBK" w:cs="方正楷体_GBK"/>
          <w:color w:val="000000" w:themeColor="text1"/>
          <w:sz w:val="32"/>
          <w:szCs w:val="32"/>
          <w:shd w:val="clear" w:color="auto" w:fill="FFFFFF"/>
          <w:lang w:val="zh-CN" w:eastAsia="zh-CN" w:bidi="ar-SA"/>
          <w14:textFill>
            <w14:solidFill>
              <w14:schemeClr w14:val="tx1"/>
            </w14:solidFill>
          </w14:textFill>
        </w:rPr>
      </w:pPr>
      <w:r>
        <w:rPr>
          <w:rStyle w:val="15"/>
          <w:rFonts w:hint="eastAsia" w:ascii="方正楷体_GBK" w:hAnsi="方正楷体_GBK" w:eastAsia="方正楷体_GBK" w:cs="方正楷体_GBK"/>
          <w:color w:val="000000" w:themeColor="text1"/>
          <w:sz w:val="32"/>
          <w:szCs w:val="32"/>
          <w:shd w:val="clear" w:color="auto" w:fill="FFFFFF"/>
          <w:lang w:val="zh-CN" w:eastAsia="zh-CN" w:bidi="ar-SA"/>
          <w14:textFill>
            <w14:solidFill>
              <w14:schemeClr w14:val="tx1"/>
            </w14:solidFill>
          </w14:textFill>
        </w:rPr>
        <w:t>（一）单位自评情况</w:t>
      </w:r>
    </w:p>
    <w:p>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default"/>
        </w:rPr>
      </w:pP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根据预算绩效管理要求，我单位对</w:t>
      </w: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3</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个二级项目开展了绩效自评，涉及财政拨款项目支出资金</w:t>
      </w:r>
      <w:r>
        <w:rPr>
          <w:rFonts w:hint="default" w:ascii="方正仿宋_GBK" w:hAnsi="仿宋_GB2312" w:eastAsia="方正仿宋_GBK" w:cs="仿宋_GB2312"/>
          <w:snapToGrid w:val="0"/>
          <w:color w:val="000000" w:themeColor="text1"/>
          <w:sz w:val="32"/>
          <w:szCs w:val="32"/>
          <w:lang w:val="en-US" w:eastAsia="zh-CN"/>
          <w14:textFill>
            <w14:solidFill>
              <w14:schemeClr w14:val="tx1"/>
            </w14:solidFill>
          </w14:textFill>
        </w:rPr>
        <w:t>14.47</w:t>
      </w:r>
      <w:r>
        <w:rPr>
          <w:rStyle w:val="15"/>
          <w:rFonts w:hint="eastAsia" w:ascii="方正仿宋_GBK" w:hAnsi="方正仿宋_GBK" w:eastAsia="方正仿宋_GBK" w:cs="方正仿宋_GBK"/>
          <w:b w:val="0"/>
          <w:bCs/>
          <w:color w:val="000000" w:themeColor="text1"/>
          <w:sz w:val="32"/>
          <w:szCs w:val="32"/>
          <w:shd w:val="clear" w:color="auto" w:fill="FFFFFF"/>
          <w:lang w:val="zh-CN" w:eastAsia="zh-CN" w:bidi="ar-SA"/>
          <w14:textFill>
            <w14:solidFill>
              <w14:schemeClr w14:val="tx1"/>
            </w14:solidFill>
          </w14:textFill>
        </w:rPr>
        <w:t>万元。</w:t>
      </w:r>
    </w:p>
    <w:p>
      <w:pPr>
        <w:keepNext w:val="0"/>
        <w:keepLines w:val="0"/>
        <w:pageBreakBefore w:val="0"/>
        <w:widowControl w:val="0"/>
        <w:kinsoku/>
        <w:wordWrap/>
        <w:autoSpaceDE w:val="0"/>
        <w:autoSpaceDN w:val="0"/>
        <w:bidi w:val="0"/>
        <w:adjustRightInd w:val="0"/>
        <w:spacing w:line="600" w:lineRule="exact"/>
        <w:ind w:firstLine="640" w:firstLineChars="200"/>
        <w:jc w:val="left"/>
        <w:textAlignment w:val="auto"/>
        <w:rPr>
          <w:rFonts w:hint="eastAsia"/>
          <w:lang w:val="en-US" w:eastAsia="zh-CN"/>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项目支出绩效自评表1（二级项目）：</w:t>
      </w:r>
    </w:p>
    <w:tbl>
      <w:tblPr>
        <w:tblStyle w:val="12"/>
        <w:tblW w:w="837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7"/>
        <w:gridCol w:w="727"/>
        <w:gridCol w:w="645"/>
        <w:gridCol w:w="726"/>
        <w:gridCol w:w="645"/>
        <w:gridCol w:w="579"/>
        <w:gridCol w:w="705"/>
        <w:gridCol w:w="600"/>
        <w:gridCol w:w="645"/>
        <w:gridCol w:w="795"/>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val="0"/>
                <w:bCs/>
                <w:color w:val="000000"/>
                <w:sz w:val="28"/>
                <w:szCs w:val="28"/>
              </w:rPr>
              <w:t>202</w:t>
            </w:r>
            <w:r>
              <w:rPr>
                <w:rFonts w:hint="eastAsia" w:ascii="方正仿宋_GBK" w:hAnsi="方正仿宋_GBK" w:eastAsia="方正仿宋_GBK" w:cs="方正仿宋_GBK"/>
                <w:b w:val="0"/>
                <w:bCs/>
                <w:color w:val="000000"/>
                <w:sz w:val="28"/>
                <w:szCs w:val="28"/>
                <w:lang w:val="en-US" w:eastAsia="zh-CN"/>
              </w:rPr>
              <w:t>4</w:t>
            </w:r>
            <w:r>
              <w:rPr>
                <w:rFonts w:hint="eastAsia" w:ascii="方正仿宋_GBK" w:hAnsi="方正仿宋_GBK" w:eastAsia="方正仿宋_GBK" w:cs="方正仿宋_GBK"/>
                <w:b w:val="0"/>
                <w:bCs/>
                <w:color w:val="000000"/>
                <w:sz w:val="28"/>
                <w:szCs w:val="28"/>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文体旅服务与建设</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50019324T000004206079</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项目主管部门：</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部门联系人：</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6</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在6个村居开展文化体育活动、IP打造等工作，当年度工作计划任务完成率100%，经费使用规范、支付及时，有效保障村居文化体育活动正常开展，提升群众精神文化，群众满意度达90%以上。</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在6个村居开展文化体育活动、IP打造等工作，当年度工作计划任务完成率100%，经费使用规范、支付及时，有效保障村居文化体育活动正常开展，提升群众精神文化，群众满意度达90%以上。</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6个村居开展文化体育活动、IP打造等工作，当年度工作计划任务完成率100%，经费使用规范、支付及时，有效保障村居文化体育活动正常开展，提升群众精神文化，群众满意度达90%以上。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覆盖村居数量</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个</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6</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6</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工作计划任务完成率</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20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经费使用合规性</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元</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定性</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合规</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15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提升群众精神文化</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个</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定性</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提升</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25</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是</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群众满意度</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90</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bl>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仿宋_GB2312" w:eastAsia="方正仿宋_GBK" w:cs="仿宋_GB2312"/>
          <w:snapToGrid w:val="0"/>
          <w:color w:val="000000" w:themeColor="text1"/>
          <w:sz w:val="32"/>
          <w:szCs w:val="32"/>
          <w:lang w:val="en-US" w:eastAsia="zh-CN"/>
          <w14:textFill>
            <w14:solidFill>
              <w14:schemeClr w14:val="tx1"/>
            </w14:solidFill>
          </w14:textFill>
        </w:rPr>
        <w:t>项目支出绩效自评表2（二级项目）：</w:t>
      </w:r>
    </w:p>
    <w:tbl>
      <w:tblPr>
        <w:tblStyle w:val="12"/>
        <w:tblW w:w="837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7"/>
        <w:gridCol w:w="727"/>
        <w:gridCol w:w="645"/>
        <w:gridCol w:w="726"/>
        <w:gridCol w:w="645"/>
        <w:gridCol w:w="579"/>
        <w:gridCol w:w="705"/>
        <w:gridCol w:w="600"/>
        <w:gridCol w:w="645"/>
        <w:gridCol w:w="795"/>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val="0"/>
                <w:bCs/>
                <w:color w:val="000000"/>
                <w:sz w:val="24"/>
                <w:szCs w:val="24"/>
              </w:rPr>
              <w:t>202</w:t>
            </w:r>
            <w:r>
              <w:rPr>
                <w:rFonts w:hint="eastAsia" w:ascii="方正仿宋_GBK" w:hAnsi="方正仿宋_GBK" w:eastAsia="方正仿宋_GBK" w:cs="方正仿宋_GBK"/>
                <w:b w:val="0"/>
                <w:bCs/>
                <w:color w:val="000000"/>
                <w:sz w:val="24"/>
                <w:szCs w:val="24"/>
                <w:lang w:val="en-US" w:eastAsia="zh-CN"/>
              </w:rPr>
              <w:t>4</w:t>
            </w:r>
            <w:r>
              <w:rPr>
                <w:rFonts w:hint="eastAsia" w:ascii="方正仿宋_GBK" w:hAnsi="方正仿宋_GBK" w:eastAsia="方正仿宋_GBK" w:cs="方正仿宋_GBK"/>
                <w:b w:val="0"/>
                <w:bCs/>
                <w:color w:val="000000"/>
                <w:sz w:val="24"/>
                <w:szCs w:val="24"/>
              </w:rPr>
              <w:t>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righ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项目名称：</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乡镇（街道）文服中心免费开放补助（本级专款）</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项目编码：</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50019324T000004206083</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自评总分：</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项目主管部门：</w:t>
            </w:r>
          </w:p>
        </w:tc>
        <w:tc>
          <w:tcPr>
            <w:tcW w:w="13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307-重庆市九龙坡区石板镇人民政府</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财政归口处室：</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003-预算科</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部门联系人：</w:t>
            </w:r>
          </w:p>
        </w:tc>
        <w:tc>
          <w:tcPr>
            <w:tcW w:w="12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戚老师</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联系电话：</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65765797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年初预算数</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全年（调整）预算数</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全年执行数</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执行率权重</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年度总金额</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3.47</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3.47</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3.47</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其中：财政拨款</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ascii="方正仿宋_GBK" w:hAnsi="方正仿宋_GBK" w:eastAsia="方正仿宋_GBK" w:cs="方正仿宋_GBK"/>
                <w:b/>
                <w:bCs w:val="0"/>
                <w:color w:val="000000"/>
                <w:sz w:val="18"/>
                <w:szCs w:val="18"/>
                <w:lang w:val="en-US" w:eastAsia="zh-CN"/>
              </w:rPr>
              <w:t>3.47</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3.47</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3.47</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10.00</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3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一般公共预算</w:t>
            </w:r>
          </w:p>
        </w:tc>
        <w:tc>
          <w:tcPr>
            <w:tcW w:w="137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3.47</w:t>
            </w:r>
          </w:p>
        </w:tc>
        <w:tc>
          <w:tcPr>
            <w:tcW w:w="12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3.47</w:t>
            </w:r>
          </w:p>
        </w:tc>
        <w:tc>
          <w:tcPr>
            <w:tcW w:w="130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3.47</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年初绩效目标</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全年（调整）绩效目标</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277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rPr>
              <w:t>开展社保调研、人社培训、医保社保专用设备采购与维修、就业平台、招聘会等工作，服务辖区常住人口2.11万人，促进群众就业，帮助群众解决问题，改善群众生活质量水平，群众满意度达90%以上。</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开展社保调研、人社培训、医保社保专用设备采购与维修、就业平台、招聘会等工作，服务辖区常住人口2.11万人，促进群众就业，帮助群众解决问题，改善群众生活质量水平，群众满意度达90%以上。</w:t>
            </w:r>
          </w:p>
        </w:tc>
        <w:tc>
          <w:tcPr>
            <w:tcW w:w="233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开展社保调研、人社培训、医保社保专用设备采购与维修、就业平台、招聘会等工作，服务辖区常住人口2.11万人，促进群众就业，帮助群众解决问题，改善群众生活质量水平，群众满意度达90%以上。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8373" w:type="dxa"/>
            <w:gridSpan w:val="11"/>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808080"/>
                <w:sz w:val="18"/>
                <w:szCs w:val="18"/>
              </w:rPr>
            </w:pPr>
            <w:r>
              <w:rPr>
                <w:rFonts w:hint="eastAsia" w:ascii="方正仿宋_GBK" w:hAnsi="方正仿宋_GBK" w:eastAsia="方正仿宋_GBK" w:cs="方正仿宋_GBK"/>
                <w:b/>
                <w:bCs w:val="0"/>
                <w:color w:val="000000"/>
                <w:sz w:val="18"/>
                <w:szCs w:val="18"/>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指标名称</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计量单位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指标性质</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指标值</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全年完成值</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偏离度（%）</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得分系数（%）</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指标权重</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指标得分</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是否核心指标</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完成时间</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月</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12</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12</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val="en-US" w:eastAsia="zh-CN"/>
              </w:rPr>
              <w:t>是</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社会效益</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97</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97</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40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rPr>
            </w:pPr>
            <w:r>
              <w:rPr>
                <w:rFonts w:hint="eastAsia" w:ascii="方正仿宋_GBK" w:hAnsi="方正仿宋_GBK" w:eastAsia="方正仿宋_GBK" w:cs="方正仿宋_GBK"/>
                <w:b/>
                <w:bCs w:val="0"/>
                <w:color w:val="000000"/>
                <w:sz w:val="18"/>
                <w:szCs w:val="18"/>
                <w:lang w:val="en-US" w:eastAsia="zh-CN"/>
              </w:rPr>
              <w:t>群众满意度</w:t>
            </w:r>
          </w:p>
        </w:tc>
        <w:tc>
          <w:tcPr>
            <w:tcW w:w="7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w:t>
            </w:r>
          </w:p>
        </w:tc>
        <w:tc>
          <w:tcPr>
            <w:tcW w:w="7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95</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95</w:t>
            </w:r>
          </w:p>
        </w:tc>
        <w:tc>
          <w:tcPr>
            <w:tcW w:w="5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0</w:t>
            </w:r>
          </w:p>
        </w:tc>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100</w:t>
            </w:r>
          </w:p>
        </w:tc>
        <w:tc>
          <w:tcPr>
            <w:tcW w:w="6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6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10</w:t>
            </w:r>
          </w:p>
        </w:tc>
        <w:tc>
          <w:tcPr>
            <w:tcW w:w="79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方正仿宋_GBK" w:hAnsi="方正仿宋_GBK" w:eastAsia="方正仿宋_GBK" w:cs="方正仿宋_GBK"/>
                <w:b/>
                <w:bCs w:val="0"/>
                <w:color w:val="000000"/>
                <w:sz w:val="18"/>
                <w:szCs w:val="18"/>
                <w:lang w:val="en-US" w:eastAsia="zh-CN"/>
              </w:rPr>
            </w:pPr>
            <w:r>
              <w:rPr>
                <w:rFonts w:hint="eastAsia" w:ascii="方正仿宋_GBK" w:hAnsi="方正仿宋_GBK" w:eastAsia="方正仿宋_GBK" w:cs="方正仿宋_GBK"/>
                <w:b/>
                <w:bCs w:val="0"/>
                <w:color w:val="000000"/>
                <w:sz w:val="18"/>
                <w:szCs w:val="18"/>
                <w:lang w:val="en-US" w:eastAsia="zh-CN"/>
              </w:rPr>
              <w:t>否</w:t>
            </w:r>
          </w:p>
        </w:tc>
        <w:tc>
          <w:tcPr>
            <w:tcW w:w="8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方正仿宋_GBK" w:hAnsi="方正仿宋_GBK" w:eastAsia="方正仿宋_GBK" w:cs="方正仿宋_GBK"/>
                <w:b/>
                <w:bCs w:val="0"/>
                <w:color w:val="000000"/>
                <w:sz w:val="18"/>
                <w:szCs w:val="18"/>
              </w:rPr>
            </w:pPr>
          </w:p>
        </w:tc>
      </w:tr>
    </w:tbl>
    <w:p>
      <w:pPr>
        <w:pStyle w:val="17"/>
        <w:keepNext w:val="0"/>
        <w:keepLines w:val="0"/>
        <w:pageBreakBefore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楷体" w:hAnsi="楷体" w:eastAsia="楷体" w:cs="楷体"/>
          <w:b/>
          <w:bCs/>
          <w:sz w:val="32"/>
          <w:szCs w:val="32"/>
          <w:shd w:val="clear" w:color="auto" w:fill="FFFFFF"/>
        </w:rPr>
      </w:pPr>
      <w:r>
        <w:rPr>
          <w:rFonts w:hint="eastAsia" w:ascii="方正楷体_GBK" w:hAnsi="方正楷体_GBK" w:eastAsia="方正楷体_GBK" w:cs="方正楷体_GBK"/>
          <w:kern w:val="0"/>
          <w:sz w:val="32"/>
          <w:szCs w:val="32"/>
          <w:lang w:val="zh-CN" w:eastAsia="zh-CN" w:bidi="ar-SA"/>
        </w:rPr>
        <w:t>（二）部门绩效评价情况</w:t>
      </w:r>
    </w:p>
    <w:p>
      <w:pPr>
        <w:widowControl w:val="0"/>
        <w:autoSpaceDE w:val="0"/>
        <w:autoSpaceDN w:val="0"/>
        <w:adjustRightInd w:val="0"/>
        <w:spacing w:line="594" w:lineRule="exact"/>
        <w:ind w:firstLine="640" w:firstLineChars="200"/>
        <w:jc w:val="both"/>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我单位未组织开展绩效评价。</w:t>
      </w:r>
    </w:p>
    <w:p>
      <w:pPr>
        <w:pStyle w:val="21"/>
        <w:keepNext w:val="0"/>
        <w:keepLines w:val="0"/>
        <w:pageBreakBefore w:val="0"/>
        <w:kinsoku/>
        <w:wordWrap/>
        <w:overflowPunct/>
        <w:topLinePunct w:val="0"/>
        <w:autoSpaceDE w:val="0"/>
        <w:autoSpaceDN/>
        <w:bidi w:val="0"/>
        <w:adjustRightInd/>
        <w:snapToGrid/>
        <w:spacing w:line="600" w:lineRule="exact"/>
        <w:ind w:firstLine="643"/>
        <w:jc w:val="left"/>
        <w:textAlignment w:val="auto"/>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kern w:val="0"/>
          <w:sz w:val="32"/>
          <w:szCs w:val="32"/>
          <w:lang w:val="zh-CN" w:eastAsia="zh-CN" w:bidi="ar-SA"/>
        </w:rPr>
        <w:t>（三）财政绩效评价情况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pPr>
      <w:r>
        <w:rPr>
          <w:rStyle w:val="15"/>
          <w:rFonts w:hint="eastAsia" w:ascii="方正仿宋_GBK" w:hAnsi="方正仿宋_GBK" w:eastAsia="方正仿宋_GBK" w:cs="方正仿宋_GBK"/>
          <w:b w:val="0"/>
          <w:bCs/>
          <w:color w:val="000000" w:themeColor="text1"/>
          <w:sz w:val="32"/>
          <w:szCs w:val="32"/>
          <w:shd w:val="clear" w:color="auto" w:fill="FFFFFF"/>
          <w:lang w:val="en-US" w:eastAsia="zh-CN" w:bidi="ar-SA"/>
          <w14:textFill>
            <w14:solidFill>
              <w14:schemeClr w14:val="tx1"/>
            </w14:solidFill>
          </w14:textFill>
        </w:rPr>
        <w:t>重庆高新区财政局未委托第三方对我部门开展绩效评价。</w:t>
      </w:r>
    </w:p>
    <w:p>
      <w:pPr>
        <w:pStyle w:val="17"/>
        <w:keepNext w:val="0"/>
        <w:keepLines w:val="0"/>
        <w:pageBreakBefore w:val="0"/>
        <w:kinsoku/>
        <w:wordWrap/>
        <w:overflowPunct/>
        <w:topLinePunct w:val="0"/>
        <w:autoSpaceDE w:val="0"/>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b w:val="0"/>
          <w:bCs w:val="0"/>
          <w:kern w:val="2"/>
          <w:sz w:val="32"/>
          <w:szCs w:val="32"/>
          <w:lang w:val="zh-CN" w:eastAsia="zh-CN" w:bidi="ar-SA"/>
        </w:rPr>
      </w:pPr>
      <w:r>
        <w:rPr>
          <w:rStyle w:val="18"/>
          <w:rFonts w:hint="eastAsia" w:ascii="方正仿宋_GBK" w:hAnsi="方正仿宋_GBK" w:eastAsia="方正仿宋_GBK" w:cs="方正仿宋_GBK"/>
          <w:sz w:val="32"/>
          <w:szCs w:val="32"/>
          <w:shd w:val="clear" w:color="auto" w:fill="FFFFFF"/>
        </w:rPr>
        <w:t xml:space="preserve"> </w:t>
      </w:r>
      <w:r>
        <w:rPr>
          <w:rStyle w:val="18"/>
          <w:rFonts w:hint="eastAsia" w:ascii="方正仿宋_GBK" w:hAnsi="方正仿宋_GBK" w:eastAsia="方正仿宋_GBK" w:cs="方正仿宋_GBK"/>
          <w:sz w:val="32"/>
          <w:szCs w:val="32"/>
          <w:shd w:val="clear" w:color="auto" w:fill="FFFFFF"/>
          <w:lang w:val="en-US" w:eastAsia="zh-CN"/>
        </w:rPr>
        <w:t xml:space="preserve">  </w:t>
      </w:r>
      <w:r>
        <w:rPr>
          <w:rFonts w:hint="eastAsia" w:ascii="方正黑体_GBK" w:hAnsi="方正黑体_GBK" w:eastAsia="方正黑体_GBK" w:cs="方正黑体_GBK"/>
          <w:b w:val="0"/>
          <w:bCs w:val="0"/>
          <w:kern w:val="2"/>
          <w:sz w:val="32"/>
          <w:szCs w:val="32"/>
          <w:lang w:val="zh-CN" w:eastAsia="zh-CN" w:bidi="ar-SA"/>
        </w:rPr>
        <w:t>六、专业名词解释</w:t>
      </w:r>
    </w:p>
    <w:p>
      <w:pPr>
        <w:pStyle w:val="17"/>
        <w:keepNext w:val="0"/>
        <w:keepLines w:val="0"/>
        <w:pageBreakBefore w:val="0"/>
        <w:kinsoku/>
        <w:wordWrap/>
        <w:overflowPunct/>
        <w:topLinePunct w:val="0"/>
        <w:autoSpaceDE w:val="0"/>
        <w:bidi w:val="0"/>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sz w:val="32"/>
          <w:szCs w:val="32"/>
          <w:shd w:val="clear" w:color="auto" w:fill="FFFFFF"/>
        </w:rPr>
        <w:t xml:space="preserve">   </w:t>
      </w:r>
      <w:r>
        <w:rPr>
          <w:rFonts w:hint="eastAsia" w:ascii="方正楷体_GBK" w:hAnsi="方正楷体_GBK" w:eastAsia="方正楷体_GBK" w:cs="方正楷体_GBK"/>
          <w:kern w:val="0"/>
          <w:sz w:val="32"/>
          <w:szCs w:val="32"/>
          <w:lang w:val="zh-CN" w:eastAsia="zh-CN" w:bidi="ar-SA"/>
        </w:rPr>
        <w:t>（一）财政拨款收入：</w:t>
      </w:r>
      <w:r>
        <w:rPr>
          <w:rFonts w:hint="eastAsia"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取得的财政拨款，包括一般公共预算财政拨款和政府性基金预算财政拨款。</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取得的经费，以及行政单位收到的财政专户管理资金反映在本项内。</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7"/>
        <w:keepNext w:val="0"/>
        <w:keepLines w:val="0"/>
        <w:pageBreakBefore w:val="0"/>
        <w:kinsoku/>
        <w:wordWrap/>
        <w:overflowPunct/>
        <w:topLinePunct w:val="0"/>
        <w:bidi w:val="0"/>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val="zh-CN"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17"/>
        <w:keepNext w:val="0"/>
        <w:keepLines w:val="0"/>
        <w:pageBreakBefore w:val="0"/>
        <w:kinsoku/>
        <w:wordWrap/>
        <w:overflowPunct/>
        <w:topLinePunct w:val="0"/>
        <w:autoSpaceDE w:val="0"/>
        <w:bidi w:val="0"/>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val="0"/>
          <w:kern w:val="2"/>
          <w:sz w:val="32"/>
          <w:szCs w:val="32"/>
          <w:lang w:val="zh-CN" w:eastAsia="zh-CN" w:bidi="ar-SA"/>
        </w:rPr>
      </w:pPr>
      <w:r>
        <w:rPr>
          <w:rFonts w:hint="eastAsia" w:ascii="方正黑体_GBK" w:hAnsi="方正黑体_GBK" w:eastAsia="方正黑体_GBK" w:cs="方正黑体_GBK"/>
          <w:b w:val="0"/>
          <w:bCs w:val="0"/>
          <w:kern w:val="2"/>
          <w:sz w:val="32"/>
          <w:szCs w:val="32"/>
          <w:lang w:val="zh-CN" w:eastAsia="zh-CN" w:bidi="ar-SA"/>
        </w:rPr>
        <w:t>七、决算公开联系方式及信息反馈渠道</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Style w:val="15"/>
          <w:rFonts w:hint="eastAsia"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rPr>
        <w:t>本单位决算公开信息反馈和联系方式：</w:t>
      </w:r>
      <w:r>
        <w:rPr>
          <w:rStyle w:val="15"/>
          <w:rFonts w:hint="eastAsia" w:ascii="方正仿宋_GBK" w:hAnsi="方正仿宋_GBK" w:eastAsia="方正仿宋_GBK" w:cs="方正仿宋_GBK"/>
          <w:b w:val="0"/>
          <w:bCs/>
          <w:sz w:val="32"/>
          <w:szCs w:val="32"/>
          <w:shd w:val="clear" w:color="auto" w:fill="FFFFFF"/>
          <w:lang w:val="en-US" w:eastAsia="zh-CN"/>
        </w:rPr>
        <w:t>023-65765797</w:t>
      </w:r>
      <w:r>
        <w:rPr>
          <w:rStyle w:val="15"/>
          <w:rFonts w:hint="eastAsia" w:ascii="方正仿宋_GBK" w:hAnsi="方正仿宋_GBK" w:eastAsia="方正仿宋_GBK" w:cs="方正仿宋_GBK"/>
          <w:b w:val="0"/>
          <w:bCs/>
          <w:sz w:val="32"/>
          <w:szCs w:val="32"/>
          <w:shd w:val="clear" w:color="auto" w:fill="FFFFFF"/>
        </w:rPr>
        <w:t>。</w:t>
      </w:r>
    </w:p>
    <w:p>
      <w:pPr>
        <w:pStyle w:val="16"/>
        <w:autoSpaceDE w:val="0"/>
        <w:spacing w:line="596" w:lineRule="exact"/>
        <w:ind w:firstLine="643"/>
        <w:jc w:val="both"/>
        <w:rPr>
          <w:rStyle w:val="15"/>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重庆市九龙坡区石板镇文化服务中心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82.82</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sz w:val="20"/>
                <w:szCs w:val="20"/>
              </w:rPr>
              <w:t>：</w:t>
            </w:r>
            <w:r>
              <w:rPr>
                <w:sz w:val="20"/>
                <w:u w:color="auto"/>
              </w:rPr>
              <w:t>重庆市九龙坡区石板镇文化服务中心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82.82</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82.82</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重庆市九龙坡区石板镇文化服务中心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82.82</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68.35</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14.47</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2"/>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重庆市九龙坡区石板镇文化服务中心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60.10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重庆市九龙坡区石板镇文化服务中心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2"/>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hint="eastAsia" w:cs="宋体"/>
                <w:sz w:val="20"/>
                <w:szCs w:val="20"/>
                <w:lang w:eastAsia="zh-CN"/>
              </w:rPr>
              <w:t>单位</w:t>
            </w:r>
            <w:r>
              <w:rPr>
                <w:rFonts w:cs="宋体"/>
                <w:color w:val="000000"/>
                <w:kern w:val="2"/>
                <w:sz w:val="20"/>
                <w:szCs w:val="20"/>
              </w:rPr>
              <w:t>：</w:t>
            </w:r>
            <w:r>
              <w:rPr>
                <w:color w:val="000000"/>
                <w:sz w:val="20"/>
                <w:u w:color="auto"/>
              </w:rPr>
              <w:t>重庆市九龙坡区石板镇文化服务中心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7"/>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6FD1E2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BEF6E5"/>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CFF3820"/>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7D1AA2"/>
    <w:rsid w:val="6B89C36C"/>
    <w:rsid w:val="6BBF53FD"/>
    <w:rsid w:val="6C560CAE"/>
    <w:rsid w:val="6C576495"/>
    <w:rsid w:val="6D903FF5"/>
    <w:rsid w:val="6DA955B8"/>
    <w:rsid w:val="6DE346AB"/>
    <w:rsid w:val="6DE36C58"/>
    <w:rsid w:val="6DE5391A"/>
    <w:rsid w:val="6EE9ECA3"/>
    <w:rsid w:val="6EFD1324"/>
    <w:rsid w:val="6F5A53AC"/>
    <w:rsid w:val="6FAC003D"/>
    <w:rsid w:val="6FE55E12"/>
    <w:rsid w:val="6FF9A5DE"/>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AF3C0B7"/>
    <w:rsid w:val="7B24540B"/>
    <w:rsid w:val="7B420052"/>
    <w:rsid w:val="7B861484"/>
    <w:rsid w:val="7BD06A28"/>
    <w:rsid w:val="7BEDDD63"/>
    <w:rsid w:val="7C3A7C0B"/>
    <w:rsid w:val="7C5248E4"/>
    <w:rsid w:val="7C566698"/>
    <w:rsid w:val="7C5866A3"/>
    <w:rsid w:val="7CBE2F89"/>
    <w:rsid w:val="7CCD0158"/>
    <w:rsid w:val="7D7406BB"/>
    <w:rsid w:val="7DE94331"/>
    <w:rsid w:val="7F446A19"/>
    <w:rsid w:val="7F504D37"/>
    <w:rsid w:val="7F6FC334"/>
    <w:rsid w:val="7F7452B9"/>
    <w:rsid w:val="7F8401D1"/>
    <w:rsid w:val="7FAC32D7"/>
    <w:rsid w:val="7FD9E83E"/>
    <w:rsid w:val="9A98BC4B"/>
    <w:rsid w:val="BEF1B9DF"/>
    <w:rsid w:val="DEF79F34"/>
    <w:rsid w:val="DFF11198"/>
    <w:rsid w:val="EDF7B3DF"/>
    <w:rsid w:val="EFBBA809"/>
    <w:rsid w:val="F4DF33C1"/>
    <w:rsid w:val="F854FE50"/>
    <w:rsid w:val="FBD764E2"/>
    <w:rsid w:val="FBF7F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5"/>
    <w:unhideWhenUsed/>
    <w:qFormat/>
    <w:uiPriority w:val="99"/>
    <w:pPr>
      <w:spacing w:after="120"/>
      <w:ind w:left="420" w:leftChars="200"/>
    </w:pPr>
    <w:rPr>
      <w:rFonts w:cs="宋体"/>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6"/>
    <w:qFormat/>
    <w:uiPriority w:val="0"/>
    <w:rPr>
      <w:rFonts w:ascii="宋体" w:hAnsi="宋体"/>
      <w:sz w:val="18"/>
      <w:szCs w:val="18"/>
    </w:rPr>
  </w:style>
  <w:style w:type="paragraph" w:customStyle="1" w:styleId="21">
    <w:name w:val="列表段落1"/>
    <w:basedOn w:val="1"/>
    <w:qFormat/>
    <w:uiPriority w:val="99"/>
    <w:pPr>
      <w:ind w:firstLine="420" w:firstLineChars="200"/>
    </w:pPr>
  </w:style>
  <w:style w:type="paragraph" w:customStyle="1" w:styleId="22">
    <w:name w:val="List Paragraph"/>
    <w:basedOn w:val="1"/>
    <w:qFormat/>
    <w:uiPriority w:val="0"/>
    <w:pPr>
      <w:ind w:firstLine="420" w:firstLineChars="200"/>
    </w:pPr>
    <w:rPr>
      <w:rFonts w:hint="default" w:ascii="仿宋" w:hAnsi="仿宋" w:eastAsia="仿宋"/>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4051</Words>
  <Characters>23092</Characters>
  <Lines>192</Lines>
  <Paragraphs>54</Paragraphs>
  <TotalTime>0</TotalTime>
  <ScaleCrop>false</ScaleCrop>
  <LinksUpToDate>false</LinksUpToDate>
  <CharactersWithSpaces>27089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2025-06-28T15:40:00Z</dcterms:created>
  <dc:creator>Administrator</dc:creator>
  <cp:lastModifiedBy>sbz</cp:lastModifiedBy>
  <dcterms:modified xsi:type="dcterms:W3CDTF">2025-10-17T18:28:17Z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B4C49D72FB24434BA9B48518AE2530C8</vt:lpwstr>
  </property>
</Properties>
</file>