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rPr>
          <w:rFonts w:hint="eastAsia" w:ascii="方正小标宋_GBK" w:hAnsi="宋体" w:eastAsia="方正小标宋_GBK" w:cs="Times New Roman"/>
          <w:bCs/>
          <w:kern w:val="2"/>
          <w:sz w:val="44"/>
          <w:szCs w:val="44"/>
          <w:lang w:val="zh-CN"/>
        </w:rPr>
      </w:pPr>
      <w:r>
        <w:rPr>
          <w:rFonts w:hint="eastAsia" w:ascii="方正小标宋_GBK" w:hAnsi="宋体" w:eastAsia="方正小标宋_GBK" w:cs="Times New Roman"/>
          <w:bCs/>
          <w:kern w:val="2"/>
          <w:sz w:val="44"/>
          <w:szCs w:val="44"/>
          <w:lang w:val="zh-CN"/>
        </w:rPr>
        <w:t>石板镇人民政府</w:t>
      </w:r>
      <w:r>
        <w:rPr>
          <w:rFonts w:hint="default" w:ascii="方正小标宋_GBK" w:hAnsi="宋体" w:eastAsia="方正小标宋_GBK" w:cs="Times New Roman"/>
          <w:bCs/>
          <w:kern w:val="2"/>
          <w:sz w:val="44"/>
          <w:szCs w:val="44"/>
          <w:lang w:val="zh-CN"/>
        </w:rPr>
        <w:t>2024</w:t>
      </w:r>
      <w:r>
        <w:rPr>
          <w:rFonts w:hint="eastAsia" w:ascii="方正小标宋_GBK" w:hAnsi="宋体" w:eastAsia="方正小标宋_GBK" w:cs="Times New Roman"/>
          <w:bCs/>
          <w:kern w:val="2"/>
          <w:sz w:val="44"/>
          <w:szCs w:val="44"/>
          <w:lang w:val="zh-CN"/>
        </w:rPr>
        <w:t>年度决算公开说明</w:t>
      </w:r>
    </w:p>
    <w:p>
      <w:pPr>
        <w:pStyle w:val="13"/>
        <w:shd w:val="clear" w:color="auto" w:fill="FFFFFF"/>
        <w:spacing w:before="0" w:beforeAutospacing="0" w:after="0" w:afterAutospacing="0" w:line="596" w:lineRule="exact"/>
        <w:ind w:firstLine="643" w:firstLineChars="200"/>
        <w:rPr>
          <w:rStyle w:val="17"/>
          <w:rFonts w:ascii="黑体" w:hAnsi="黑体" w:eastAsia="黑体" w:cs="黑体"/>
          <w:sz w:val="32"/>
          <w:szCs w:val="32"/>
          <w:shd w:val="clear" w:color="auto" w:fill="FFFFFF"/>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一、部门基本情况</w:t>
      </w:r>
    </w:p>
    <w:p>
      <w:pPr>
        <w:pStyle w:val="18"/>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（一）职能职责</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贯彻执行党和国家的路线、方针、政策、法律、法规、法令；执行镇人民代表大会的决议和上级的决定和命令；发布镇人民政府的决定；制定并组织实施本镇国民经济和社会发展规划、年度计划和预算；抓好本辖区内国民经济和社会发展的各项工作，坚持科学发展，富民强镇。以经济建设为中心，推动石板镇高质量发展，加快重大基础设施和重点项目建设，加强城镇建设和管理，促进城乡一体化发展，不断改善和保障民生，增进人民福祉，把镇人民政府建设成为密切联系群众、全心全意为人民服务的高效基层政权组织。</w:t>
      </w:r>
    </w:p>
    <w:p>
      <w:pPr>
        <w:pStyle w:val="18"/>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（二）机构设置</w:t>
      </w:r>
    </w:p>
    <w:p>
      <w:pPr>
        <w:pStyle w:val="13"/>
        <w:shd w:val="clear" w:color="auto" w:fill="FFFFFF"/>
        <w:spacing w:before="0" w:beforeAutospacing="0" w:after="0" w:afterAutospacing="0" w:line="600" w:lineRule="exact"/>
        <w:ind w:firstLine="640" w:firstLineChars="200"/>
        <w:jc w:val="both"/>
        <w:rPr>
          <w:rFonts w:hint="eastAsia" w:ascii="方正仿宋_GBK" w:eastAsia="方正仿宋_GBK" w:cs="Times New Roman"/>
          <w:color w:val="000000"/>
          <w:sz w:val="32"/>
          <w:szCs w:val="32"/>
        </w:rPr>
      </w:pPr>
      <w:r>
        <w:rPr>
          <w:rFonts w:hint="eastAsia" w:ascii="方正仿宋_GBK" w:eastAsia="方正仿宋_GBK" w:cs="Times New Roman"/>
          <w:color w:val="000000"/>
          <w:sz w:val="32"/>
          <w:szCs w:val="32"/>
        </w:rPr>
        <w:t>石板镇内设职能科室9个：党政办公室、党建工作办公室、经济发展办公室、财政办公室、规划建设管理环保办公室、民政和社会事务办公室、综合行政执法办公室、平安建设办公室、应急管理办公室；下设派驻机构3个：高新区综合行政执法支队第七大队，高新区综合执法局石板司法所，高新区市场监督管理局石板管理所；下属事业单位6个：劳动就业和社会保障服务所、农业服务中心、文化服务中心、退役军人服务站、综合行政执法大队、社会管理信息服务中心。</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二、部门决算收支情况说明</w:t>
      </w:r>
    </w:p>
    <w:p>
      <w:pPr>
        <w:pStyle w:val="18"/>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（一）收入支出决算总体情况说明</w:t>
      </w:r>
    </w:p>
    <w:p>
      <w:pPr>
        <w:pStyle w:val="13"/>
        <w:shd w:val="clear" w:color="auto" w:fill="FFFFFF"/>
        <w:spacing w:before="0" w:beforeAutospacing="0" w:after="0" w:afterAutospacing="0" w:line="600" w:lineRule="exact"/>
        <w:ind w:firstLine="640" w:firstLineChars="200"/>
        <w:jc w:val="both"/>
        <w:rPr>
          <w:rFonts w:hint="eastAsia" w:ascii="方正仿宋_GBK" w:eastAsia="方正仿宋_GBK" w:cs="Times New Roman"/>
          <w:color w:val="000000"/>
          <w:sz w:val="32"/>
          <w:szCs w:val="32"/>
        </w:rPr>
      </w:pPr>
      <w:r>
        <w:rPr>
          <w:rFonts w:hint="default" w:ascii="方正仿宋_GBK" w:eastAsia="方正仿宋_GBK" w:cs="Times New Roman"/>
          <w:color w:val="000000"/>
          <w:sz w:val="32"/>
          <w:szCs w:val="32"/>
        </w:rPr>
        <w:t>2024</w:t>
      </w:r>
      <w:r>
        <w:rPr>
          <w:rFonts w:hint="eastAsia" w:ascii="方正仿宋_GBK" w:eastAsia="方正仿宋_GBK" w:cs="Times New Roman"/>
          <w:color w:val="000000"/>
          <w:sz w:val="32"/>
          <w:szCs w:val="32"/>
        </w:rPr>
        <w:t>年度收</w:t>
      </w:r>
      <w:r>
        <w:rPr>
          <w:rFonts w:hint="eastAsia" w:ascii="方正仿宋_GBK" w:eastAsia="方正仿宋_GBK" w:cs="Times New Roman"/>
          <w:color w:val="000000"/>
          <w:sz w:val="32"/>
          <w:szCs w:val="32"/>
          <w:lang w:eastAsia="zh-CN"/>
        </w:rPr>
        <w:t>入</w:t>
      </w:r>
      <w:r>
        <w:rPr>
          <w:rFonts w:hint="eastAsia" w:ascii="方正仿宋_GBK" w:eastAsia="方正仿宋_GBK" w:cs="Times New Roman"/>
          <w:color w:val="000000"/>
          <w:sz w:val="32"/>
          <w:szCs w:val="32"/>
        </w:rPr>
        <w:t>、支</w:t>
      </w:r>
      <w:r>
        <w:rPr>
          <w:rFonts w:hint="eastAsia" w:ascii="方正仿宋_GBK" w:eastAsia="方正仿宋_GBK" w:cs="Times New Roman"/>
          <w:color w:val="000000"/>
          <w:sz w:val="32"/>
          <w:szCs w:val="32"/>
          <w:lang w:eastAsia="zh-CN"/>
        </w:rPr>
        <w:t>出</w:t>
      </w:r>
      <w:r>
        <w:rPr>
          <w:rFonts w:hint="eastAsia" w:ascii="方正仿宋_GBK" w:eastAsia="方正仿宋_GBK" w:cs="Times New Roman"/>
          <w:color w:val="000000"/>
          <w:sz w:val="32"/>
          <w:szCs w:val="32"/>
        </w:rPr>
        <w:t>总计均为</w:t>
      </w:r>
      <w:r>
        <w:rPr>
          <w:rFonts w:hint="default" w:ascii="方正仿宋_GBK" w:eastAsia="方正仿宋_GBK" w:cs="Times New Roman"/>
          <w:color w:val="000000"/>
          <w:sz w:val="32"/>
          <w:szCs w:val="32"/>
        </w:rPr>
        <w:t>4845.95</w:t>
      </w:r>
      <w:r>
        <w:rPr>
          <w:rFonts w:hint="eastAsia" w:ascii="方正仿宋_GBK" w:eastAsia="方正仿宋_GBK" w:cs="Times New Roman"/>
          <w:color w:val="000000"/>
          <w:sz w:val="32"/>
          <w:szCs w:val="32"/>
        </w:rPr>
        <w:t>万元。</w:t>
      </w:r>
      <w:r>
        <w:rPr>
          <w:rFonts w:hint="default" w:ascii="方正仿宋_GBK" w:eastAsia="方正仿宋_GBK" w:cs="Times New Roman"/>
          <w:color w:val="000000"/>
          <w:sz w:val="32"/>
          <w:szCs w:val="32"/>
        </w:rPr>
        <w:t>收</w:t>
      </w:r>
      <w:r>
        <w:rPr>
          <w:rFonts w:hint="eastAsia" w:ascii="方正仿宋_GBK" w:eastAsia="方正仿宋_GBK" w:cs="Times New Roman"/>
          <w:color w:val="000000"/>
          <w:sz w:val="32"/>
          <w:szCs w:val="32"/>
          <w:lang w:eastAsia="zh-CN"/>
        </w:rPr>
        <w:t>入</w:t>
      </w:r>
      <w:r>
        <w:rPr>
          <w:rFonts w:hint="default" w:ascii="方正仿宋_GBK" w:eastAsia="方正仿宋_GBK" w:cs="Times New Roman"/>
          <w:color w:val="000000"/>
          <w:sz w:val="32"/>
          <w:szCs w:val="32"/>
        </w:rPr>
        <w:t>、支</w:t>
      </w:r>
      <w:r>
        <w:rPr>
          <w:rFonts w:hint="eastAsia" w:ascii="方正仿宋_GBK" w:eastAsia="方正仿宋_GBK" w:cs="Times New Roman"/>
          <w:color w:val="000000"/>
          <w:sz w:val="32"/>
          <w:szCs w:val="32"/>
          <w:lang w:eastAsia="zh-CN"/>
        </w:rPr>
        <w:t>出</w:t>
      </w:r>
      <w:r>
        <w:rPr>
          <w:rFonts w:hint="default" w:ascii="方正仿宋_GBK" w:eastAsia="方正仿宋_GBK" w:cs="Times New Roman"/>
          <w:color w:val="000000"/>
          <w:sz w:val="32"/>
          <w:szCs w:val="32"/>
        </w:rPr>
        <w:t>与2023年度相比，减少1193.85万元，下降19.8%</w:t>
      </w:r>
      <w:r>
        <w:rPr>
          <w:rFonts w:hint="eastAsia" w:ascii="方正仿宋_GBK" w:eastAsia="方正仿宋_GBK" w:cs="Times New Roman"/>
          <w:color w:val="000000"/>
          <w:sz w:val="32"/>
          <w:szCs w:val="32"/>
        </w:rPr>
        <w:t>，主要原因是</w:t>
      </w:r>
      <w:r>
        <w:rPr>
          <w:rFonts w:hint="eastAsia" w:ascii="方正仿宋_GBK" w:eastAsia="方正仿宋_GBK" w:cs="Times New Roman"/>
          <w:color w:val="000000"/>
          <w:sz w:val="32"/>
          <w:szCs w:val="32"/>
          <w:lang w:val="en-US" w:eastAsia="zh-CN"/>
        </w:rPr>
        <w:t>减少马家沟水库整治费、五人制足球场建设费等</w:t>
      </w:r>
      <w:r>
        <w:rPr>
          <w:rFonts w:hint="eastAsia" w:ascii="方正仿宋_GBK" w:eastAsia="方正仿宋_GBK" w:cs="Times New Roman"/>
          <w:color w:val="000000"/>
          <w:sz w:val="32"/>
          <w:szCs w:val="32"/>
        </w:rPr>
        <w:t>。</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rPr>
      </w:pPr>
      <w:r>
        <w:rPr>
          <w:rFonts w:hint="default" w:ascii="方正仿宋_GBK" w:eastAsia="方正仿宋_GBK" w:cs="Times New Roman"/>
          <w:color w:val="000000"/>
          <w:sz w:val="32"/>
          <w:szCs w:val="32"/>
        </w:rPr>
        <w:t>1.收入情况。2024年度收入合计4845.95万元，与2023年度相比，减少1193.85万元，下降19.8%，主要原因是</w:t>
      </w:r>
      <w:r>
        <w:rPr>
          <w:rFonts w:hint="eastAsia" w:ascii="方正仿宋_GBK" w:eastAsia="方正仿宋_GBK" w:cs="Times New Roman"/>
          <w:color w:val="000000"/>
          <w:sz w:val="32"/>
          <w:szCs w:val="32"/>
          <w:lang w:val="en-US" w:eastAsia="zh-CN"/>
        </w:rPr>
        <w:t>减少马家沟水库整治费、五人制足球场建设费等</w:t>
      </w:r>
      <w:r>
        <w:rPr>
          <w:rFonts w:hint="default" w:ascii="方正仿宋_GBK" w:eastAsia="方正仿宋_GBK" w:cs="Times New Roman"/>
          <w:color w:val="000000"/>
          <w:sz w:val="32"/>
          <w:szCs w:val="32"/>
        </w:rPr>
        <w:t>。其中：财政拨款收入4845.95万元，占100%；事业收入</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rPr>
        <w:t>万元，占</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rPr>
        <w:t>%；经营收入</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rPr>
        <w:t>万元，占</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rPr>
        <w:t>%；其他收入</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rPr>
        <w:t>万元，占</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rPr>
        <w:t>%。此外，使用非财政拨款结余（含专用结余）</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rPr>
        <w:t>万元，年初结转和结余</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rPr>
        <w:t>万元。</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rPr>
      </w:pPr>
      <w:r>
        <w:rPr>
          <w:rFonts w:hint="default" w:ascii="方正仿宋_GBK" w:eastAsia="方正仿宋_GBK" w:cs="Times New Roman"/>
          <w:color w:val="000000"/>
          <w:sz w:val="32"/>
          <w:szCs w:val="32"/>
        </w:rPr>
        <w:t>2.支出情况。2024年度支出合计4845.95万元，与2023年度相比，减少1193.85万元，下降19.8%，主要原因是</w:t>
      </w:r>
      <w:r>
        <w:rPr>
          <w:rFonts w:hint="eastAsia" w:ascii="方正仿宋_GBK" w:eastAsia="方正仿宋_GBK" w:cs="Times New Roman"/>
          <w:color w:val="000000"/>
          <w:sz w:val="32"/>
          <w:szCs w:val="32"/>
          <w:lang w:val="en-US" w:eastAsia="zh-CN"/>
        </w:rPr>
        <w:t>减少马家沟水库整治费、五人制足球场建设费等</w:t>
      </w:r>
      <w:r>
        <w:rPr>
          <w:rFonts w:hint="default" w:ascii="方正仿宋_GBK" w:eastAsia="方正仿宋_GBK" w:cs="Times New Roman"/>
          <w:color w:val="000000"/>
          <w:sz w:val="32"/>
          <w:szCs w:val="32"/>
        </w:rPr>
        <w:t>。其中：基本支出2063.17万元，占42.6%；项目支出2782.79万元，占57.4%；经营支出</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rPr>
        <w:t>万元，占</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rPr>
        <w:t>%。此外，结余分配</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rPr>
        <w:t>万元。</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rPr>
      </w:pPr>
      <w:r>
        <w:rPr>
          <w:rFonts w:hint="default" w:ascii="方正仿宋_GBK" w:eastAsia="方正仿宋_GBK" w:cs="Times New Roman"/>
          <w:color w:val="000000"/>
          <w:sz w:val="32"/>
          <w:szCs w:val="32"/>
        </w:rPr>
        <w:t>3.结转结余情况。2024年度年末结转和结余</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rPr>
        <w:t>万元，与2023年度相比，无增减。</w:t>
      </w:r>
    </w:p>
    <w:p>
      <w:pPr>
        <w:pStyle w:val="18"/>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（二）财政拨款收入支出决算总体情况说明</w:t>
      </w:r>
    </w:p>
    <w:p>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eastAsia="方正仿宋_GBK" w:cs="Times New Roman"/>
          <w:color w:val="000000"/>
          <w:sz w:val="32"/>
          <w:szCs w:val="32"/>
        </w:rPr>
      </w:pPr>
      <w:r>
        <w:rPr>
          <w:rFonts w:hint="default" w:ascii="方正仿宋_GBK" w:eastAsia="方正仿宋_GBK" w:cs="Times New Roman"/>
          <w:color w:val="000000"/>
          <w:sz w:val="32"/>
          <w:szCs w:val="32"/>
        </w:rPr>
        <w:t>2024年度财政拨款收</w:t>
      </w:r>
      <w:r>
        <w:rPr>
          <w:rFonts w:hint="eastAsia" w:ascii="方正仿宋_GBK" w:eastAsia="方正仿宋_GBK" w:cs="Times New Roman"/>
          <w:color w:val="000000"/>
          <w:sz w:val="32"/>
          <w:szCs w:val="32"/>
          <w:lang w:eastAsia="zh-CN"/>
        </w:rPr>
        <w:t>入</w:t>
      </w:r>
      <w:r>
        <w:rPr>
          <w:rFonts w:hint="default" w:ascii="方正仿宋_GBK" w:eastAsia="方正仿宋_GBK" w:cs="Times New Roman"/>
          <w:color w:val="000000"/>
          <w:sz w:val="32"/>
          <w:szCs w:val="32"/>
        </w:rPr>
        <w:t>、支</w:t>
      </w:r>
      <w:r>
        <w:rPr>
          <w:rFonts w:hint="eastAsia" w:ascii="方正仿宋_GBK" w:eastAsia="方正仿宋_GBK" w:cs="Times New Roman"/>
          <w:color w:val="000000"/>
          <w:sz w:val="32"/>
          <w:szCs w:val="32"/>
          <w:lang w:eastAsia="zh-CN"/>
        </w:rPr>
        <w:t>出</w:t>
      </w:r>
      <w:r>
        <w:rPr>
          <w:rFonts w:hint="default" w:ascii="方正仿宋_GBK" w:eastAsia="方正仿宋_GBK" w:cs="Times New Roman"/>
          <w:color w:val="000000"/>
          <w:sz w:val="32"/>
          <w:szCs w:val="32"/>
        </w:rPr>
        <w:t>总计均为4845.95万元。与2023年度相比，财政拨款收</w:t>
      </w:r>
      <w:r>
        <w:rPr>
          <w:rFonts w:hint="eastAsia" w:ascii="方正仿宋_GBK" w:eastAsia="方正仿宋_GBK" w:cs="Times New Roman"/>
          <w:color w:val="000000"/>
          <w:sz w:val="32"/>
          <w:szCs w:val="32"/>
          <w:lang w:eastAsia="zh-CN"/>
        </w:rPr>
        <w:t>入</w:t>
      </w:r>
      <w:r>
        <w:rPr>
          <w:rFonts w:hint="default" w:ascii="方正仿宋_GBK" w:eastAsia="方正仿宋_GBK" w:cs="Times New Roman"/>
          <w:color w:val="000000"/>
          <w:sz w:val="32"/>
          <w:szCs w:val="32"/>
        </w:rPr>
        <w:t>、支</w:t>
      </w:r>
      <w:r>
        <w:rPr>
          <w:rFonts w:hint="eastAsia" w:ascii="方正仿宋_GBK" w:eastAsia="方正仿宋_GBK" w:cs="Times New Roman"/>
          <w:color w:val="000000"/>
          <w:sz w:val="32"/>
          <w:szCs w:val="32"/>
          <w:lang w:eastAsia="zh-CN"/>
        </w:rPr>
        <w:t>出</w:t>
      </w:r>
      <w:r>
        <w:rPr>
          <w:rFonts w:hint="default" w:ascii="方正仿宋_GBK" w:eastAsia="方正仿宋_GBK" w:cs="Times New Roman"/>
          <w:color w:val="000000"/>
          <w:sz w:val="32"/>
          <w:szCs w:val="32"/>
        </w:rPr>
        <w:t>总计各减少1193.85万元，下降19.8%</w:t>
      </w:r>
      <w:r>
        <w:rPr>
          <w:rFonts w:hint="eastAsia" w:ascii="方正仿宋_GBK" w:eastAsia="方正仿宋_GBK" w:cs="Times New Roman"/>
          <w:color w:val="000000"/>
          <w:sz w:val="32"/>
          <w:szCs w:val="32"/>
          <w:lang w:eastAsia="zh-CN"/>
        </w:rPr>
        <w:t>，</w:t>
      </w:r>
      <w:r>
        <w:rPr>
          <w:rFonts w:hint="default" w:ascii="方正仿宋_GBK" w:eastAsia="方正仿宋_GBK" w:cs="Times New Roman"/>
          <w:color w:val="000000"/>
          <w:sz w:val="32"/>
          <w:szCs w:val="32"/>
        </w:rPr>
        <w:t>主要原因是</w:t>
      </w:r>
      <w:r>
        <w:rPr>
          <w:rFonts w:hint="eastAsia" w:ascii="方正仿宋_GBK" w:eastAsia="方正仿宋_GBK" w:cs="Times New Roman"/>
          <w:color w:val="000000"/>
          <w:sz w:val="32"/>
          <w:szCs w:val="32"/>
          <w:lang w:val="en-US" w:eastAsia="zh-CN"/>
        </w:rPr>
        <w:t>减少马家沟水库整治费、五人制足球场建设费等</w:t>
      </w:r>
      <w:r>
        <w:rPr>
          <w:rFonts w:hint="default" w:ascii="方正仿宋_GBK" w:eastAsia="方正仿宋_GBK" w:cs="Times New Roman"/>
          <w:color w:val="000000"/>
          <w:sz w:val="32"/>
          <w:szCs w:val="32"/>
        </w:rPr>
        <w:t>。</w:t>
      </w:r>
    </w:p>
    <w:p>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eastAsia" w:ascii="方正仿宋_GBK" w:eastAsia="方正仿宋_GBK" w:cs="Times New Roman"/>
          <w:color w:val="000000"/>
          <w:sz w:val="32"/>
          <w:szCs w:val="32"/>
          <w:lang w:val="zh-CN" w:eastAsia="zh-CN"/>
        </w:rPr>
      </w:pPr>
      <w:r>
        <w:rPr>
          <w:rFonts w:hint="eastAsia" w:ascii="方正仿宋_GBK" w:eastAsia="方正仿宋_GBK" w:cs="Times New Roman"/>
          <w:color w:val="000000"/>
          <w:sz w:val="32"/>
          <w:szCs w:val="32"/>
          <w:lang w:val="zh-CN" w:eastAsia="zh-CN"/>
        </w:rPr>
        <w:t>（三）一般公共预算财政拨款收入支出决算情况说明</w:t>
      </w:r>
    </w:p>
    <w:p>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eastAsia="方正仿宋_GBK" w:cs="Times New Roman"/>
          <w:color w:val="000000"/>
          <w:sz w:val="32"/>
          <w:szCs w:val="32"/>
        </w:rPr>
      </w:pPr>
      <w:r>
        <w:rPr>
          <w:rFonts w:hint="default" w:ascii="方正仿宋_GBK" w:eastAsia="方正仿宋_GBK" w:cs="Times New Roman"/>
          <w:color w:val="000000"/>
          <w:sz w:val="32"/>
          <w:szCs w:val="32"/>
        </w:rPr>
        <w:t>1.收入情况。2024年度一般公共预算财政拨款收入4786.27万元，与2023年度相比，减少1079.65万元，下降18.4%</w:t>
      </w:r>
      <w:r>
        <w:rPr>
          <w:rFonts w:hint="eastAsia" w:ascii="方正仿宋_GBK" w:eastAsia="方正仿宋_GBK" w:cs="Times New Roman"/>
          <w:color w:val="000000"/>
          <w:sz w:val="32"/>
          <w:szCs w:val="32"/>
          <w:lang w:eastAsia="zh-CN"/>
        </w:rPr>
        <w:t>，</w:t>
      </w:r>
      <w:r>
        <w:rPr>
          <w:rFonts w:hint="default" w:ascii="方正仿宋_GBK" w:eastAsia="方正仿宋_GBK" w:cs="Times New Roman"/>
          <w:color w:val="000000"/>
          <w:sz w:val="32"/>
          <w:szCs w:val="32"/>
        </w:rPr>
        <w:t>主要原因是</w:t>
      </w:r>
      <w:r>
        <w:rPr>
          <w:rFonts w:hint="eastAsia" w:ascii="方正仿宋_GBK" w:eastAsia="方正仿宋_GBK" w:cs="Times New Roman"/>
          <w:color w:val="000000"/>
          <w:sz w:val="32"/>
          <w:szCs w:val="32"/>
          <w:lang w:val="en-US" w:eastAsia="zh-CN"/>
        </w:rPr>
        <w:t>减少马家沟水库整治费、五人制足球场建设费等</w:t>
      </w:r>
      <w:r>
        <w:rPr>
          <w:rFonts w:hint="default" w:ascii="方正仿宋_GBK" w:eastAsia="方正仿宋_GBK" w:cs="Times New Roman"/>
          <w:color w:val="000000"/>
          <w:sz w:val="32"/>
          <w:szCs w:val="32"/>
        </w:rPr>
        <w:t>。较年初预算数增加1669.09万元，增长53.5%</w:t>
      </w:r>
      <w:r>
        <w:rPr>
          <w:rFonts w:hint="eastAsia" w:ascii="方正仿宋_GBK" w:eastAsia="方正仿宋_GBK" w:cs="Times New Roman"/>
          <w:color w:val="000000"/>
          <w:sz w:val="32"/>
          <w:szCs w:val="32"/>
          <w:lang w:eastAsia="zh-CN"/>
        </w:rPr>
        <w:t>，</w:t>
      </w:r>
      <w:r>
        <w:rPr>
          <w:rFonts w:hint="default" w:ascii="方正仿宋_GBK" w:eastAsia="方正仿宋_GBK" w:cs="Times New Roman"/>
          <w:color w:val="000000"/>
          <w:sz w:val="32"/>
          <w:szCs w:val="32"/>
        </w:rPr>
        <w:t>主要原因是</w:t>
      </w:r>
      <w:r>
        <w:rPr>
          <w:rFonts w:hint="eastAsia" w:ascii="方正仿宋_GBK" w:eastAsia="方正仿宋_GBK" w:cs="Times New Roman"/>
          <w:color w:val="000000"/>
          <w:sz w:val="32"/>
          <w:szCs w:val="32"/>
          <w:lang w:val="en-US" w:eastAsia="zh-CN"/>
        </w:rPr>
        <w:t>增加困难群众（低保、特困、事实无人抚养儿童等人员）救助、四好农村公路建设、计生奖特扶人员补助、优抚人员补助及医疗费、基层政权建设、粮食安全生产等资金</w:t>
      </w:r>
      <w:r>
        <w:rPr>
          <w:rFonts w:hint="default" w:ascii="方正仿宋_GBK" w:eastAsia="方正仿宋_GBK" w:cs="Times New Roman"/>
          <w:color w:val="000000"/>
          <w:sz w:val="32"/>
          <w:szCs w:val="32"/>
        </w:rPr>
        <w:t>。此外，年初财政拨款结转和结余</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rPr>
        <w:t>万元。</w:t>
      </w:r>
    </w:p>
    <w:p>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eastAsia="方正仿宋_GBK" w:cs="Times New Roman"/>
          <w:color w:val="000000"/>
          <w:sz w:val="32"/>
          <w:szCs w:val="32"/>
        </w:rPr>
      </w:pPr>
      <w:r>
        <w:rPr>
          <w:rFonts w:hint="default" w:ascii="方正仿宋_GBK" w:eastAsia="方正仿宋_GBK" w:cs="Times New Roman"/>
          <w:color w:val="000000"/>
          <w:sz w:val="32"/>
          <w:szCs w:val="32"/>
        </w:rPr>
        <w:t>2.支出情况。2024年度一般公共预算财政拨款支出4786.27万元，与2023年度相比，减少1079.65万元，下降18.4%。主要原因是</w:t>
      </w:r>
      <w:r>
        <w:rPr>
          <w:rFonts w:hint="eastAsia" w:ascii="方正仿宋_GBK" w:eastAsia="方正仿宋_GBK" w:cs="Times New Roman"/>
          <w:color w:val="000000"/>
          <w:sz w:val="32"/>
          <w:szCs w:val="32"/>
          <w:lang w:val="en-US" w:eastAsia="zh-CN"/>
        </w:rPr>
        <w:t>减少马家沟水库整治费、五人制足球场建设费等</w:t>
      </w:r>
      <w:r>
        <w:rPr>
          <w:rFonts w:hint="default" w:ascii="方正仿宋_GBK" w:eastAsia="方正仿宋_GBK" w:cs="Times New Roman"/>
          <w:color w:val="000000"/>
          <w:sz w:val="32"/>
          <w:szCs w:val="32"/>
        </w:rPr>
        <w:t>。较年初预算数增加1669.09万元，增长53.5%</w:t>
      </w:r>
      <w:r>
        <w:rPr>
          <w:rFonts w:hint="eastAsia" w:ascii="方正仿宋_GBK" w:eastAsia="方正仿宋_GBK" w:cs="Times New Roman"/>
          <w:color w:val="000000"/>
          <w:sz w:val="32"/>
          <w:szCs w:val="32"/>
          <w:lang w:eastAsia="zh-CN"/>
        </w:rPr>
        <w:t>，</w:t>
      </w:r>
      <w:r>
        <w:rPr>
          <w:rFonts w:hint="default" w:ascii="方正仿宋_GBK" w:eastAsia="方正仿宋_GBK" w:cs="Times New Roman"/>
          <w:color w:val="000000"/>
          <w:sz w:val="32"/>
          <w:szCs w:val="32"/>
        </w:rPr>
        <w:t>主要原因是</w:t>
      </w:r>
      <w:r>
        <w:rPr>
          <w:rFonts w:hint="eastAsia" w:ascii="方正仿宋_GBK" w:eastAsia="方正仿宋_GBK" w:cs="Times New Roman"/>
          <w:color w:val="000000"/>
          <w:sz w:val="32"/>
          <w:szCs w:val="32"/>
          <w:lang w:val="en-US" w:eastAsia="zh-CN"/>
        </w:rPr>
        <w:t>增加困难群众（低保、特困、事实无人抚养儿童等人员）救助、四好农村公路建设、计生奖特扶人员补助、优抚人员补助及医疗费、基层政权建设、粮食安全生产等资金</w:t>
      </w:r>
      <w:r>
        <w:rPr>
          <w:rFonts w:hint="default" w:ascii="方正仿宋_GBK" w:eastAsia="方正仿宋_GBK" w:cs="Times New Roman"/>
          <w:color w:val="000000"/>
          <w:sz w:val="32"/>
          <w:szCs w:val="32"/>
        </w:rPr>
        <w:t>。</w:t>
      </w:r>
    </w:p>
    <w:p>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eastAsia="方正仿宋_GBK" w:cs="Times New Roman"/>
          <w:color w:val="000000"/>
          <w:sz w:val="32"/>
          <w:szCs w:val="32"/>
        </w:rPr>
      </w:pPr>
      <w:r>
        <w:rPr>
          <w:rFonts w:hint="default" w:ascii="方正仿宋_GBK" w:eastAsia="方正仿宋_GBK" w:cs="Times New Roman"/>
          <w:color w:val="000000"/>
          <w:sz w:val="32"/>
          <w:szCs w:val="32"/>
        </w:rPr>
        <w:t>一般公共预算财政拨款支出主要用途如下：</w:t>
      </w:r>
    </w:p>
    <w:p>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eastAsia="方正仿宋_GBK" w:cs="Times New Roman"/>
          <w:color w:val="000000"/>
          <w:sz w:val="32"/>
          <w:szCs w:val="32"/>
        </w:rPr>
      </w:pPr>
      <w:r>
        <w:rPr>
          <w:rFonts w:hint="default" w:ascii="方正仿宋_GBK" w:eastAsia="方正仿宋_GBK" w:cs="Times New Roman"/>
          <w:color w:val="000000"/>
          <w:sz w:val="32"/>
          <w:szCs w:val="32"/>
        </w:rPr>
        <w:t>（1）一般公共服务支出1808.17万元，占37.8%，较年初预算数增加494.02万元，增长37.6%，主要原因是</w:t>
      </w:r>
      <w:r>
        <w:rPr>
          <w:rFonts w:hint="eastAsia" w:ascii="方正仿宋_GBK" w:eastAsia="方正仿宋_GBK" w:cs="Times New Roman"/>
          <w:color w:val="000000"/>
          <w:sz w:val="32"/>
          <w:szCs w:val="32"/>
        </w:rPr>
        <w:t>增加其他政府办公厅（室）及相关机构事务支出</w:t>
      </w:r>
      <w:r>
        <w:rPr>
          <w:rFonts w:hint="eastAsia" w:ascii="方正仿宋_GBK" w:eastAsia="方正仿宋_GBK" w:cs="Times New Roman"/>
          <w:color w:val="000000"/>
          <w:sz w:val="32"/>
          <w:szCs w:val="32"/>
          <w:lang w:eastAsia="zh-CN"/>
        </w:rPr>
        <w:t>等</w:t>
      </w:r>
      <w:r>
        <w:rPr>
          <w:rFonts w:hint="default" w:ascii="方正仿宋_GBK" w:eastAsia="方正仿宋_GBK" w:cs="Times New Roman"/>
          <w:color w:val="000000"/>
          <w:sz w:val="32"/>
          <w:szCs w:val="32"/>
        </w:rPr>
        <w:t>。</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rPr>
      </w:pPr>
      <w:r>
        <w:rPr>
          <w:rFonts w:hint="default" w:ascii="方正仿宋_GBK" w:eastAsia="方正仿宋_GBK" w:cs="Times New Roman"/>
          <w:color w:val="000000"/>
          <w:sz w:val="32"/>
          <w:szCs w:val="32"/>
        </w:rPr>
        <w:t>（</w:t>
      </w:r>
      <w:r>
        <w:rPr>
          <w:rFonts w:hint="eastAsia" w:ascii="方正仿宋_GBK" w:eastAsia="方正仿宋_GBK" w:cs="Times New Roman"/>
          <w:color w:val="000000"/>
          <w:sz w:val="32"/>
          <w:szCs w:val="32"/>
          <w:lang w:val="en-US" w:eastAsia="zh-CN"/>
        </w:rPr>
        <w:t>2</w:t>
      </w:r>
      <w:r>
        <w:rPr>
          <w:rFonts w:hint="default" w:ascii="方正仿宋_GBK" w:eastAsia="方正仿宋_GBK" w:cs="Times New Roman"/>
          <w:color w:val="000000"/>
          <w:sz w:val="32"/>
          <w:szCs w:val="32"/>
        </w:rPr>
        <w:t>）国防支出8.98万元，占0.2%，较年初预算数增加8.98万元，增长100%，主要原因是</w:t>
      </w:r>
      <w:r>
        <w:rPr>
          <w:rFonts w:hint="eastAsia" w:ascii="方正仿宋_GBK" w:eastAsia="方正仿宋_GBK" w:cs="Times New Roman"/>
          <w:color w:val="000000"/>
          <w:sz w:val="32"/>
          <w:szCs w:val="32"/>
          <w:lang w:eastAsia="zh-CN"/>
        </w:rPr>
        <w:t>根据功能科目，单列民兵支出</w:t>
      </w:r>
      <w:r>
        <w:rPr>
          <w:rFonts w:hint="default" w:ascii="方正仿宋_GBK" w:eastAsia="方正仿宋_GBK" w:cs="Times New Roman"/>
          <w:color w:val="000000"/>
          <w:sz w:val="32"/>
          <w:szCs w:val="32"/>
        </w:rPr>
        <w:t>。</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rPr>
        <w:t>（</w:t>
      </w:r>
      <w:r>
        <w:rPr>
          <w:rFonts w:hint="eastAsia" w:ascii="方正仿宋_GBK" w:eastAsia="方正仿宋_GBK" w:cs="Times New Roman"/>
          <w:color w:val="000000"/>
          <w:sz w:val="32"/>
          <w:szCs w:val="32"/>
          <w:lang w:val="en-US" w:eastAsia="zh-CN"/>
        </w:rPr>
        <w:t>3</w:t>
      </w:r>
      <w:r>
        <w:rPr>
          <w:rFonts w:hint="default" w:ascii="方正仿宋_GBK" w:eastAsia="方正仿宋_GBK" w:cs="Times New Roman"/>
          <w:color w:val="000000"/>
          <w:sz w:val="32"/>
          <w:szCs w:val="32"/>
        </w:rPr>
        <w:t>）科学技术支出0.55万元，占</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rPr>
        <w:t>%，较年初预算数增加0.55万元，增长100%，主要原因是</w:t>
      </w:r>
      <w:r>
        <w:rPr>
          <w:rFonts w:hint="eastAsia" w:ascii="方正仿宋_GBK" w:eastAsia="方正仿宋_GBK" w:cs="Times New Roman"/>
          <w:color w:val="000000"/>
          <w:sz w:val="32"/>
          <w:szCs w:val="32"/>
          <w:lang w:eastAsia="zh-CN"/>
        </w:rPr>
        <w:t>增加火炬统计调查支出</w:t>
      </w:r>
      <w:r>
        <w:rPr>
          <w:rFonts w:hint="default" w:ascii="方正仿宋_GBK" w:eastAsia="方正仿宋_GBK" w:cs="Times New Roman"/>
          <w:color w:val="000000"/>
          <w:sz w:val="32"/>
          <w:szCs w:val="32"/>
          <w:lang w:val="en-US" w:eastAsia="zh-CN"/>
        </w:rPr>
        <w:t>。</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rPr>
      </w:pPr>
      <w:r>
        <w:rPr>
          <w:rFonts w:hint="default" w:ascii="方正仿宋_GBK" w:eastAsia="方正仿宋_GBK" w:cs="Times New Roman"/>
          <w:color w:val="000000"/>
          <w:sz w:val="32"/>
          <w:szCs w:val="32"/>
        </w:rPr>
        <w:t>（</w:t>
      </w:r>
      <w:r>
        <w:rPr>
          <w:rFonts w:hint="eastAsia" w:ascii="方正仿宋_GBK" w:eastAsia="方正仿宋_GBK" w:cs="Times New Roman"/>
          <w:color w:val="000000"/>
          <w:sz w:val="32"/>
          <w:szCs w:val="32"/>
          <w:lang w:val="en-US" w:eastAsia="zh-CN"/>
        </w:rPr>
        <w:t>4</w:t>
      </w:r>
      <w:r>
        <w:rPr>
          <w:rFonts w:hint="default" w:ascii="方正仿宋_GBK" w:eastAsia="方正仿宋_GBK" w:cs="Times New Roman"/>
          <w:color w:val="000000"/>
          <w:sz w:val="32"/>
          <w:szCs w:val="32"/>
        </w:rPr>
        <w:t>）文化旅游体育与传媒支出69.83万元，占1.5%，较年初预算数增加44.95万元，增长180.7%，主要原因</w:t>
      </w:r>
      <w:r>
        <w:rPr>
          <w:rFonts w:hint="eastAsia" w:ascii="方正仿宋_GBK" w:eastAsia="方正仿宋_GBK" w:cs="Times New Roman"/>
          <w:color w:val="000000"/>
          <w:sz w:val="32"/>
          <w:szCs w:val="32"/>
          <w:lang w:val="en-US" w:eastAsia="zh-CN"/>
        </w:rPr>
        <w:t>增加文服中心免费开放补助，增加活动支出，如全民运动会、流动文化进村（社区）等活动支出</w:t>
      </w:r>
      <w:r>
        <w:rPr>
          <w:rFonts w:hint="default" w:ascii="方正仿宋_GBK" w:eastAsia="方正仿宋_GBK" w:cs="Times New Roman"/>
          <w:color w:val="000000"/>
          <w:sz w:val="32"/>
          <w:szCs w:val="32"/>
        </w:rPr>
        <w:t>。</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rPr>
      </w:pPr>
      <w:r>
        <w:rPr>
          <w:rFonts w:hint="default" w:ascii="方正仿宋_GBK" w:eastAsia="方正仿宋_GBK" w:cs="Times New Roman"/>
          <w:color w:val="000000"/>
          <w:sz w:val="32"/>
          <w:szCs w:val="32"/>
        </w:rPr>
        <w:t>（</w:t>
      </w:r>
      <w:r>
        <w:rPr>
          <w:rFonts w:hint="eastAsia" w:ascii="方正仿宋_GBK" w:eastAsia="方正仿宋_GBK" w:cs="Times New Roman"/>
          <w:color w:val="000000"/>
          <w:sz w:val="32"/>
          <w:szCs w:val="32"/>
          <w:lang w:val="en-US" w:eastAsia="zh-CN"/>
        </w:rPr>
        <w:t>5</w:t>
      </w:r>
      <w:r>
        <w:rPr>
          <w:rFonts w:hint="default" w:ascii="方正仿宋_GBK" w:eastAsia="方正仿宋_GBK" w:cs="Times New Roman"/>
          <w:color w:val="000000"/>
          <w:sz w:val="32"/>
          <w:szCs w:val="32"/>
        </w:rPr>
        <w:t>）社会保障和就业支出1271.06万元，占26.6%，较年初预算数增加489.88万元，增长62.7%，主要原因是</w:t>
      </w:r>
      <w:r>
        <w:rPr>
          <w:rFonts w:hint="eastAsia" w:ascii="方正仿宋_GBK" w:eastAsia="方正仿宋_GBK" w:cs="Times New Roman"/>
          <w:color w:val="000000"/>
          <w:sz w:val="32"/>
          <w:szCs w:val="32"/>
          <w:lang w:val="en-US" w:eastAsia="zh-CN"/>
        </w:rPr>
        <w:t>增加低保、特困、事实无人抚养儿童等人员补助资金</w:t>
      </w:r>
      <w:r>
        <w:rPr>
          <w:rFonts w:hint="default" w:ascii="方正仿宋_GBK" w:eastAsia="方正仿宋_GBK" w:cs="Times New Roman"/>
          <w:color w:val="000000"/>
          <w:sz w:val="32"/>
          <w:szCs w:val="32"/>
        </w:rPr>
        <w:t>。</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rPr>
        <w:t>（</w:t>
      </w:r>
      <w:r>
        <w:rPr>
          <w:rFonts w:hint="eastAsia" w:ascii="方正仿宋_GBK" w:eastAsia="方正仿宋_GBK" w:cs="Times New Roman"/>
          <w:color w:val="000000"/>
          <w:sz w:val="32"/>
          <w:szCs w:val="32"/>
          <w:lang w:val="en-US" w:eastAsia="zh-CN"/>
        </w:rPr>
        <w:t>6</w:t>
      </w:r>
      <w:r>
        <w:rPr>
          <w:rFonts w:hint="default" w:ascii="方正仿宋_GBK" w:eastAsia="方正仿宋_GBK" w:cs="Times New Roman"/>
          <w:color w:val="000000"/>
          <w:sz w:val="32"/>
          <w:szCs w:val="32"/>
        </w:rPr>
        <w:t>）卫生健康支出244.42万元，占5.1%，较年初预算数增加99.81万元，增长69.0%，主要原因是</w:t>
      </w:r>
      <w:r>
        <w:rPr>
          <w:rFonts w:hint="eastAsia" w:ascii="方正仿宋_GBK" w:eastAsia="方正仿宋_GBK" w:cs="Times New Roman"/>
          <w:color w:val="000000"/>
          <w:sz w:val="32"/>
          <w:szCs w:val="32"/>
          <w:lang w:val="en-US" w:eastAsia="zh-CN"/>
        </w:rPr>
        <w:t>增加</w:t>
      </w:r>
      <w:r>
        <w:rPr>
          <w:rFonts w:hint="default" w:ascii="方正仿宋_GBK" w:eastAsia="方正仿宋_GBK" w:cs="Times New Roman"/>
          <w:color w:val="000000"/>
          <w:sz w:val="32"/>
          <w:szCs w:val="32"/>
          <w:lang w:val="en-US" w:eastAsia="zh-CN"/>
        </w:rPr>
        <w:t>计划生育奖特扶</w:t>
      </w:r>
      <w:r>
        <w:rPr>
          <w:rFonts w:hint="eastAsia" w:ascii="方正仿宋_GBK" w:eastAsia="方正仿宋_GBK" w:cs="Times New Roman"/>
          <w:color w:val="000000"/>
          <w:sz w:val="32"/>
          <w:szCs w:val="32"/>
          <w:lang w:val="en-US" w:eastAsia="zh-CN"/>
        </w:rPr>
        <w:t>资金</w:t>
      </w:r>
      <w:r>
        <w:rPr>
          <w:rFonts w:hint="default" w:ascii="方正仿宋_GBK" w:eastAsia="方正仿宋_GBK" w:cs="Times New Roman"/>
          <w:color w:val="000000"/>
          <w:sz w:val="32"/>
          <w:szCs w:val="32"/>
          <w:lang w:val="en-US" w:eastAsia="zh-CN"/>
        </w:rPr>
        <w:t>。</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themeColor="text1"/>
          <w:sz w:val="32"/>
          <w:szCs w:val="32"/>
          <w:lang w:val="en-US" w:eastAsia="zh-CN"/>
          <w14:textFill>
            <w14:solidFill>
              <w14:schemeClr w14:val="tx1"/>
            </w14:solidFill>
          </w14:textFill>
        </w:rPr>
      </w:pPr>
      <w:r>
        <w:rPr>
          <w:rFonts w:hint="default" w:ascii="方正仿宋_GBK" w:eastAsia="方正仿宋_GBK" w:cs="Times New Roman"/>
          <w:color w:val="000000" w:themeColor="text1"/>
          <w:sz w:val="32"/>
          <w:szCs w:val="32"/>
          <w14:textFill>
            <w14:solidFill>
              <w14:schemeClr w14:val="tx1"/>
            </w14:solidFill>
          </w14:textFill>
        </w:rPr>
        <w:t>（</w:t>
      </w:r>
      <w:r>
        <w:rPr>
          <w:rFonts w:hint="eastAsia" w:ascii="方正仿宋_GBK" w:eastAsia="方正仿宋_GBK" w:cs="Times New Roman"/>
          <w:color w:val="000000" w:themeColor="text1"/>
          <w:sz w:val="32"/>
          <w:szCs w:val="32"/>
          <w:lang w:val="en-US" w:eastAsia="zh-CN"/>
          <w14:textFill>
            <w14:solidFill>
              <w14:schemeClr w14:val="tx1"/>
            </w14:solidFill>
          </w14:textFill>
        </w:rPr>
        <w:t>7</w:t>
      </w:r>
      <w:r>
        <w:rPr>
          <w:rFonts w:hint="default" w:ascii="方正仿宋_GBK" w:eastAsia="方正仿宋_GBK" w:cs="Times New Roman"/>
          <w:color w:val="000000" w:themeColor="text1"/>
          <w:sz w:val="32"/>
          <w:szCs w:val="32"/>
          <w14:textFill>
            <w14:solidFill>
              <w14:schemeClr w14:val="tx1"/>
            </w14:solidFill>
          </w14:textFill>
        </w:rPr>
        <w:t>）节能环保支出54.62万元，占1.1%，较年初预算数增加54.62万元，增长100%，主要原因是</w:t>
      </w:r>
      <w:r>
        <w:rPr>
          <w:rFonts w:hint="eastAsia" w:ascii="方正仿宋_GBK" w:eastAsia="方正仿宋_GBK" w:cs="Times New Roman"/>
          <w:color w:val="000000" w:themeColor="text1"/>
          <w:sz w:val="32"/>
          <w:szCs w:val="32"/>
          <w:lang w:val="en-US" w:eastAsia="zh-CN"/>
          <w14:textFill>
            <w14:solidFill>
              <w14:schemeClr w14:val="tx1"/>
            </w14:solidFill>
          </w14:textFill>
        </w:rPr>
        <w:t>增加黑臭水体整改工程费用</w:t>
      </w:r>
      <w:r>
        <w:rPr>
          <w:rFonts w:hint="default" w:ascii="方正仿宋_GBK" w:eastAsia="方正仿宋_GBK" w:cs="Times New Roman"/>
          <w:color w:val="000000" w:themeColor="text1"/>
          <w:sz w:val="32"/>
          <w:szCs w:val="32"/>
          <w:lang w:val="en-US" w:eastAsia="zh-CN"/>
          <w14:textFill>
            <w14:solidFill>
              <w14:schemeClr w14:val="tx1"/>
            </w14:solidFill>
          </w14:textFill>
        </w:rPr>
        <w:t>。</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rPr>
        <w:t>（</w:t>
      </w:r>
      <w:r>
        <w:rPr>
          <w:rFonts w:hint="eastAsia" w:ascii="方正仿宋_GBK" w:eastAsia="方正仿宋_GBK" w:cs="Times New Roman"/>
          <w:color w:val="000000"/>
          <w:sz w:val="32"/>
          <w:szCs w:val="32"/>
          <w:lang w:val="en-US" w:eastAsia="zh-CN"/>
        </w:rPr>
        <w:t>8</w:t>
      </w:r>
      <w:r>
        <w:rPr>
          <w:rFonts w:hint="default" w:ascii="方正仿宋_GBK" w:eastAsia="方正仿宋_GBK" w:cs="Times New Roman"/>
          <w:color w:val="000000"/>
          <w:sz w:val="32"/>
          <w:szCs w:val="32"/>
        </w:rPr>
        <w:t>）城乡社区支出856.71万元，占17.9%，较年初预算数增加287.45万元，增长50.5%，主要原因是</w:t>
      </w:r>
      <w:r>
        <w:rPr>
          <w:rFonts w:hint="eastAsia" w:ascii="方正仿宋_GBK" w:eastAsia="方正仿宋_GBK" w:cs="Times New Roman"/>
          <w:color w:val="000000"/>
          <w:sz w:val="32"/>
          <w:szCs w:val="32"/>
          <w:lang w:val="en-US" w:eastAsia="zh-CN"/>
        </w:rPr>
        <w:t>增加环境卫生整治、公园建设提档升级等民生工程</w:t>
      </w:r>
      <w:r>
        <w:rPr>
          <w:rFonts w:hint="default" w:ascii="方正仿宋_GBK" w:eastAsia="方正仿宋_GBK" w:cs="Times New Roman"/>
          <w:color w:val="000000"/>
          <w:sz w:val="32"/>
          <w:szCs w:val="32"/>
          <w:lang w:val="en-US" w:eastAsia="zh-CN"/>
        </w:rPr>
        <w:t>。</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rPr>
      </w:pPr>
      <w:r>
        <w:rPr>
          <w:rFonts w:hint="default" w:ascii="方正仿宋_GBK" w:eastAsia="方正仿宋_GBK" w:cs="Times New Roman"/>
          <w:color w:val="000000"/>
          <w:sz w:val="32"/>
          <w:szCs w:val="32"/>
        </w:rPr>
        <w:t>（</w:t>
      </w:r>
      <w:r>
        <w:rPr>
          <w:rFonts w:hint="eastAsia" w:ascii="方正仿宋_GBK" w:eastAsia="方正仿宋_GBK" w:cs="Times New Roman"/>
          <w:color w:val="000000"/>
          <w:sz w:val="32"/>
          <w:szCs w:val="32"/>
          <w:lang w:val="en-US" w:eastAsia="zh-CN"/>
        </w:rPr>
        <w:t>9</w:t>
      </w:r>
      <w:r>
        <w:rPr>
          <w:rFonts w:hint="default" w:ascii="方正仿宋_GBK" w:eastAsia="方正仿宋_GBK" w:cs="Times New Roman"/>
          <w:color w:val="000000"/>
          <w:sz w:val="32"/>
          <w:szCs w:val="32"/>
        </w:rPr>
        <w:t>）农林水支出285.38万元，占6%，较年初预算数增加129.75万元，增长83.4%，主要原因是</w:t>
      </w:r>
      <w:r>
        <w:rPr>
          <w:rFonts w:hint="eastAsia" w:ascii="方正仿宋_GBK" w:eastAsia="方正仿宋_GBK" w:cs="Times New Roman"/>
          <w:color w:val="000000"/>
          <w:sz w:val="32"/>
          <w:szCs w:val="32"/>
          <w:lang w:val="en-US" w:eastAsia="zh-CN"/>
        </w:rPr>
        <w:t>增加森林防灭火专项、粮食安全生产等资金</w:t>
      </w:r>
      <w:r>
        <w:rPr>
          <w:rFonts w:hint="default" w:ascii="方正仿宋_GBK" w:eastAsia="方正仿宋_GBK" w:cs="Times New Roman"/>
          <w:color w:val="000000"/>
          <w:sz w:val="32"/>
          <w:szCs w:val="32"/>
        </w:rPr>
        <w:t>。</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rPr>
      </w:pPr>
      <w:r>
        <w:rPr>
          <w:rFonts w:hint="default" w:ascii="方正仿宋_GBK" w:eastAsia="方正仿宋_GBK" w:cs="Times New Roman"/>
          <w:color w:val="000000"/>
          <w:sz w:val="32"/>
          <w:szCs w:val="32"/>
        </w:rPr>
        <w:t>（1</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rPr>
        <w:t>）交通运输支出24.74万元，占0.5%，较年初预算数增加24.74万元，增长100%，主要原因是</w:t>
      </w:r>
      <w:r>
        <w:rPr>
          <w:rFonts w:hint="eastAsia" w:ascii="方正仿宋_GBK" w:eastAsia="方正仿宋_GBK" w:cs="Times New Roman"/>
          <w:color w:val="000000"/>
          <w:sz w:val="32"/>
          <w:szCs w:val="32"/>
          <w:lang w:val="en-US" w:eastAsia="zh-CN"/>
        </w:rPr>
        <w:t>增加</w:t>
      </w:r>
      <w:r>
        <w:rPr>
          <w:rFonts w:hint="eastAsia" w:ascii="方正仿宋_GBK" w:eastAsia="方正仿宋_GBK" w:cs="Times New Roman"/>
          <w:color w:val="000000"/>
          <w:sz w:val="32"/>
          <w:szCs w:val="32"/>
          <w:lang w:eastAsia="zh-CN"/>
        </w:rPr>
        <w:t>四好农村公路建设项目资金</w:t>
      </w:r>
      <w:r>
        <w:rPr>
          <w:rFonts w:hint="default" w:ascii="方正仿宋_GBK" w:eastAsia="方正仿宋_GBK" w:cs="Times New Roman"/>
          <w:color w:val="000000"/>
          <w:sz w:val="32"/>
          <w:szCs w:val="32"/>
          <w:lang w:val="en-US" w:eastAsia="zh-CN"/>
        </w:rPr>
        <w:t>。</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rPr>
        <w:t>（</w:t>
      </w:r>
      <w:r>
        <w:rPr>
          <w:rFonts w:hint="eastAsia" w:ascii="方正仿宋_GBK" w:eastAsia="方正仿宋_GBK" w:cs="Times New Roman"/>
          <w:color w:val="000000"/>
          <w:sz w:val="32"/>
          <w:szCs w:val="32"/>
          <w:lang w:val="en-US" w:eastAsia="zh-CN"/>
        </w:rPr>
        <w:t>11</w:t>
      </w:r>
      <w:r>
        <w:rPr>
          <w:rFonts w:hint="default" w:ascii="方正仿宋_GBK" w:eastAsia="方正仿宋_GBK" w:cs="Times New Roman"/>
          <w:color w:val="000000"/>
          <w:sz w:val="32"/>
          <w:szCs w:val="32"/>
        </w:rPr>
        <w:t>）自然资源海洋气象等支出4.41万元，占0.1%，较年初预算数增加4.41万元，增长100%，主要原因是</w:t>
      </w:r>
      <w:r>
        <w:rPr>
          <w:rFonts w:hint="eastAsia" w:ascii="方正仿宋_GBK" w:eastAsia="方正仿宋_GBK" w:cs="Times New Roman"/>
          <w:color w:val="000000"/>
          <w:sz w:val="32"/>
          <w:szCs w:val="32"/>
          <w:lang w:val="en-US" w:eastAsia="zh-CN"/>
        </w:rPr>
        <w:t>增加地质灾害点排查整治等</w:t>
      </w:r>
      <w:r>
        <w:rPr>
          <w:rFonts w:hint="default" w:ascii="方正仿宋_GBK" w:eastAsia="方正仿宋_GBK" w:cs="Times New Roman"/>
          <w:color w:val="000000"/>
          <w:sz w:val="32"/>
          <w:szCs w:val="32"/>
          <w:lang w:val="en-US" w:eastAsia="zh-CN"/>
        </w:rPr>
        <w:t>。</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lang w:val="en-US" w:eastAsia="zh-CN"/>
        </w:rPr>
        <w:t>（</w:t>
      </w:r>
      <w:r>
        <w:rPr>
          <w:rFonts w:hint="eastAsia" w:ascii="方正仿宋_GBK" w:eastAsia="方正仿宋_GBK" w:cs="Times New Roman"/>
          <w:color w:val="000000"/>
          <w:sz w:val="32"/>
          <w:szCs w:val="32"/>
          <w:lang w:val="en-US" w:eastAsia="zh-CN"/>
        </w:rPr>
        <w:t>12</w:t>
      </w:r>
      <w:r>
        <w:rPr>
          <w:rFonts w:hint="default" w:ascii="方正仿宋_GBK" w:eastAsia="方正仿宋_GBK" w:cs="Times New Roman"/>
          <w:color w:val="000000"/>
          <w:sz w:val="32"/>
          <w:szCs w:val="32"/>
          <w:lang w:val="en-US" w:eastAsia="zh-CN"/>
        </w:rPr>
        <w:t>）住房保障支出104.57万元，占2.2%，较年初预算数增加0.24万元，增长0.2%，主要原因是</w:t>
      </w:r>
      <w:r>
        <w:rPr>
          <w:rFonts w:hint="eastAsia" w:ascii="方正仿宋_GBK" w:eastAsia="方正仿宋_GBK" w:cs="Times New Roman"/>
          <w:color w:val="000000"/>
          <w:sz w:val="32"/>
          <w:szCs w:val="32"/>
          <w:lang w:val="en-US" w:eastAsia="zh-CN"/>
        </w:rPr>
        <w:t>政策性调整支出</w:t>
      </w:r>
      <w:r>
        <w:rPr>
          <w:rFonts w:hint="default" w:ascii="方正仿宋_GBK" w:eastAsia="方正仿宋_GBK" w:cs="Times New Roman"/>
          <w:color w:val="000000"/>
          <w:sz w:val="32"/>
          <w:szCs w:val="32"/>
          <w:lang w:val="en-US" w:eastAsia="zh-CN"/>
        </w:rPr>
        <w:t>。</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lang w:val="en-US" w:eastAsia="zh-CN"/>
        </w:rPr>
        <w:t>（</w:t>
      </w:r>
      <w:r>
        <w:rPr>
          <w:rFonts w:hint="eastAsia" w:ascii="方正仿宋_GBK" w:eastAsia="方正仿宋_GBK" w:cs="Times New Roman"/>
          <w:color w:val="000000"/>
          <w:sz w:val="32"/>
          <w:szCs w:val="32"/>
          <w:lang w:val="en-US" w:eastAsia="zh-CN"/>
        </w:rPr>
        <w:t>13</w:t>
      </w:r>
      <w:r>
        <w:rPr>
          <w:rFonts w:hint="default" w:ascii="方正仿宋_GBK" w:eastAsia="方正仿宋_GBK" w:cs="Times New Roman"/>
          <w:color w:val="000000"/>
          <w:sz w:val="32"/>
          <w:szCs w:val="32"/>
          <w:lang w:val="en-US" w:eastAsia="zh-CN"/>
        </w:rPr>
        <w:t>）</w:t>
      </w:r>
      <w:r>
        <w:rPr>
          <w:rFonts w:hint="default" w:ascii="方正仿宋_GBK" w:eastAsia="方正仿宋_GBK" w:cs="Times New Roman"/>
          <w:color w:val="000000"/>
          <w:sz w:val="32"/>
          <w:szCs w:val="32"/>
        </w:rPr>
        <w:t>灾害防治及应急管理支出52.81万元，占1.1%，较年初预算数增加29.67万元，增长128.2%，主要原因是</w:t>
      </w:r>
      <w:r>
        <w:rPr>
          <w:rFonts w:hint="eastAsia" w:ascii="方正仿宋_GBK" w:eastAsia="方正仿宋_GBK" w:cs="Times New Roman"/>
          <w:color w:val="000000"/>
          <w:sz w:val="32"/>
          <w:szCs w:val="32"/>
          <w:lang w:val="en-US" w:eastAsia="zh-CN"/>
        </w:rPr>
        <w:t>增加应急演练次数及其他应急管理支出</w:t>
      </w:r>
      <w:r>
        <w:rPr>
          <w:rFonts w:hint="default" w:ascii="方正仿宋_GBK" w:eastAsia="方正仿宋_GBK" w:cs="Times New Roman"/>
          <w:color w:val="000000"/>
          <w:sz w:val="32"/>
          <w:szCs w:val="32"/>
          <w:lang w:val="en-US" w:eastAsia="zh-CN"/>
        </w:rPr>
        <w:t>。</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lang w:val="en-US" w:eastAsia="zh-CN"/>
        </w:rPr>
        <w:t>3.结转结余情况。2024年度年末一般公共预算财政拨款结转和结余</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lang w:val="en-US" w:eastAsia="zh-CN"/>
        </w:rPr>
        <w:t>万元，与2023年度相比，无增减。</w:t>
      </w:r>
    </w:p>
    <w:p>
      <w:pPr>
        <w:pStyle w:val="18"/>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（四）一般公共预算财政拨款基本支出决算情况说明</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lang w:val="en-US" w:eastAsia="zh-CN"/>
        </w:rPr>
        <w:t>2024年度一般公共财政拨款基本支出2063.17万元。其中：</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rPr>
        <w:t>人员经费1785.13万元，与2023年度相比，增加45.42万元，增长2.6%，主要原因是</w:t>
      </w:r>
      <w:r>
        <w:rPr>
          <w:rFonts w:hint="eastAsia" w:ascii="方正仿宋_GBK" w:eastAsia="方正仿宋_GBK" w:cs="Times New Roman"/>
          <w:color w:val="000000"/>
          <w:sz w:val="32"/>
          <w:szCs w:val="32"/>
          <w:lang w:eastAsia="zh-CN"/>
        </w:rPr>
        <w:t>增加</w:t>
      </w:r>
      <w:r>
        <w:rPr>
          <w:rFonts w:hint="eastAsia" w:ascii="方正仿宋_GBK" w:eastAsia="方正仿宋_GBK" w:cs="Times New Roman"/>
          <w:color w:val="000000"/>
          <w:sz w:val="32"/>
          <w:szCs w:val="32"/>
        </w:rPr>
        <w:t>长聘人员</w:t>
      </w:r>
      <w:r>
        <w:rPr>
          <w:rFonts w:hint="eastAsia" w:ascii="方正仿宋_GBK" w:eastAsia="方正仿宋_GBK" w:cs="Times New Roman"/>
          <w:color w:val="000000"/>
          <w:sz w:val="32"/>
          <w:szCs w:val="32"/>
          <w:lang w:eastAsia="zh-CN"/>
        </w:rPr>
        <w:t>费用、政策性调整支出等</w:t>
      </w:r>
      <w:r>
        <w:rPr>
          <w:rFonts w:hint="default" w:ascii="方正仿宋_GBK" w:eastAsia="方正仿宋_GBK" w:cs="Times New Roman"/>
          <w:color w:val="000000"/>
          <w:sz w:val="32"/>
          <w:szCs w:val="32"/>
        </w:rPr>
        <w:t>。人员经费用途主要包括</w:t>
      </w:r>
      <w:r>
        <w:rPr>
          <w:rFonts w:hint="eastAsia" w:ascii="方正仿宋_GBK" w:eastAsia="方正仿宋_GBK" w:cs="Times New Roman"/>
          <w:color w:val="000000"/>
          <w:sz w:val="32"/>
          <w:szCs w:val="32"/>
          <w:lang w:val="en-US" w:eastAsia="zh-CN"/>
        </w:rPr>
        <w:t>基本工资、津贴补贴、社会保障缴费、绩效工资、其他工资福利支出、对个人和家庭的补助支出等</w:t>
      </w:r>
      <w:r>
        <w:rPr>
          <w:rFonts w:hint="default" w:ascii="方正仿宋_GBK" w:eastAsia="方正仿宋_GBK" w:cs="Times New Roman"/>
          <w:color w:val="000000"/>
          <w:sz w:val="32"/>
          <w:szCs w:val="32"/>
          <w:lang w:val="en-US" w:eastAsia="zh-CN"/>
        </w:rPr>
        <w:t>。</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rPr>
        <w:t>公用经费278.04万元，与2023年度相比，减少27.63万元，下降9%，主要原因是</w:t>
      </w:r>
      <w:r>
        <w:rPr>
          <w:rFonts w:hint="eastAsia" w:ascii="方正仿宋_GBK" w:eastAsia="方正仿宋_GBK" w:cs="Times New Roman"/>
          <w:color w:val="000000"/>
          <w:sz w:val="32"/>
          <w:szCs w:val="32"/>
        </w:rPr>
        <w:t>厉行节俭，压减一般性支出</w:t>
      </w:r>
      <w:r>
        <w:rPr>
          <w:rFonts w:hint="default" w:ascii="方正仿宋_GBK" w:eastAsia="方正仿宋_GBK" w:cs="Times New Roman"/>
          <w:color w:val="000000"/>
          <w:sz w:val="32"/>
          <w:szCs w:val="32"/>
        </w:rPr>
        <w:t>。公用经费用途主要包括</w:t>
      </w:r>
      <w:r>
        <w:rPr>
          <w:rFonts w:hint="eastAsia" w:ascii="方正仿宋_GBK" w:eastAsia="方正仿宋_GBK" w:cs="Times New Roman"/>
          <w:color w:val="000000"/>
          <w:sz w:val="32"/>
          <w:szCs w:val="32"/>
          <w:lang w:val="en-US" w:eastAsia="zh-CN"/>
        </w:rPr>
        <w:t>办公费、印刷费、差旅费、维修（护）费、劳务费、邮电费、水费、电费、其他商品和服务支出、办公设备购置等</w:t>
      </w:r>
      <w:r>
        <w:rPr>
          <w:rFonts w:hint="default" w:ascii="方正仿宋_GBK" w:eastAsia="方正仿宋_GBK" w:cs="Times New Roman"/>
          <w:color w:val="000000"/>
          <w:sz w:val="32"/>
          <w:szCs w:val="32"/>
          <w:lang w:val="en-US" w:eastAsia="zh-CN"/>
        </w:rPr>
        <w:t>。</w:t>
      </w:r>
    </w:p>
    <w:p>
      <w:pPr>
        <w:pStyle w:val="18"/>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（五）政府性基金预算收支决算情况说明</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rPr>
      </w:pPr>
      <w:r>
        <w:rPr>
          <w:rFonts w:hint="default" w:ascii="方正仿宋_GBK" w:eastAsia="方正仿宋_GBK" w:cs="Times New Roman"/>
          <w:color w:val="000000"/>
          <w:sz w:val="32"/>
          <w:szCs w:val="32"/>
        </w:rPr>
        <w:t>2024年度政府性基金预算财政拨款年初结转结余</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rPr>
        <w:t>万元，年末结转结余</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rPr>
        <w:t>万元。本年收入59.69万元，与2023年度相比，减少114.20万元，下降65.7%，主要原因是</w:t>
      </w:r>
      <w:r>
        <w:rPr>
          <w:rFonts w:hint="eastAsia" w:ascii="方正仿宋_GBK" w:eastAsia="方正仿宋_GBK" w:cs="Times New Roman"/>
          <w:color w:val="000000"/>
          <w:sz w:val="32"/>
          <w:szCs w:val="32"/>
          <w:lang w:val="en-US" w:eastAsia="zh-CN"/>
        </w:rPr>
        <w:t>减少养老服务中心（站）提档升级改造项目资金等</w:t>
      </w:r>
      <w:r>
        <w:rPr>
          <w:rFonts w:hint="default" w:ascii="方正仿宋_GBK" w:eastAsia="方正仿宋_GBK" w:cs="Times New Roman"/>
          <w:color w:val="000000"/>
          <w:sz w:val="32"/>
          <w:szCs w:val="32"/>
        </w:rPr>
        <w:t>。本年支出59.69万元，与2023年度相比，减少114.20万元，下降65.7%，主要原因是</w:t>
      </w:r>
      <w:r>
        <w:rPr>
          <w:rFonts w:hint="eastAsia" w:ascii="方正仿宋_GBK" w:eastAsia="方正仿宋_GBK" w:cs="Times New Roman"/>
          <w:color w:val="000000"/>
          <w:sz w:val="32"/>
          <w:szCs w:val="32"/>
          <w:lang w:val="en-US" w:eastAsia="zh-CN"/>
        </w:rPr>
        <w:t>减少养老服务中心（站）提档升级改造项目资金等</w:t>
      </w:r>
      <w:r>
        <w:rPr>
          <w:rFonts w:hint="default" w:ascii="方正仿宋_GBK" w:eastAsia="方正仿宋_GBK" w:cs="Times New Roman"/>
          <w:color w:val="000000"/>
          <w:sz w:val="32"/>
          <w:szCs w:val="32"/>
        </w:rPr>
        <w:t>。</w:t>
      </w:r>
    </w:p>
    <w:p>
      <w:pPr>
        <w:pStyle w:val="18"/>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（六）国有资本经营预算财政拨款支出决算情况说明</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rPr>
      </w:pPr>
      <w:r>
        <w:rPr>
          <w:rFonts w:hint="default" w:ascii="方正仿宋_GBK" w:eastAsia="方正仿宋_GBK" w:cs="Times New Roman"/>
          <w:color w:val="000000"/>
          <w:sz w:val="32"/>
          <w:szCs w:val="32"/>
        </w:rPr>
        <w:t>本部门2024年度无国有资本经营预算财政拨款支出。</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三、财政拨款“三公”经费情况说明</w:t>
      </w:r>
    </w:p>
    <w:p>
      <w:pPr>
        <w:pStyle w:val="18"/>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（一）“三公”经费支出总体情况说明</w:t>
      </w:r>
    </w:p>
    <w:p>
      <w:pPr>
        <w:pStyle w:val="13"/>
        <w:shd w:val="clear" w:color="auto" w:fill="FFFFFF"/>
        <w:spacing w:before="0" w:beforeAutospacing="0" w:after="0" w:afterAutospacing="0" w:line="600" w:lineRule="exact"/>
        <w:ind w:firstLine="640" w:firstLineChars="200"/>
        <w:jc w:val="both"/>
        <w:rPr>
          <w:rFonts w:hint="default" w:ascii="方正仿宋_GBK" w:eastAsia="方正仿宋_GBK" w:cs="Times New Roman"/>
          <w:color w:val="000000"/>
          <w:sz w:val="32"/>
          <w:szCs w:val="32"/>
        </w:rPr>
      </w:pPr>
      <w:r>
        <w:rPr>
          <w:rFonts w:hint="default" w:ascii="方正仿宋_GBK" w:eastAsia="方正仿宋_GBK" w:cs="Times New Roman"/>
          <w:color w:val="000000"/>
          <w:sz w:val="32"/>
          <w:szCs w:val="32"/>
        </w:rPr>
        <w:t>2024年度“三公”经费支出共计12.51万元，较年初预算数减少10.49万元，下降45.6%，主要原因是</w:t>
      </w:r>
      <w:r>
        <w:rPr>
          <w:rFonts w:hint="eastAsia" w:ascii="方正仿宋_GBK" w:eastAsia="方正仿宋_GBK" w:cs="Times New Roman"/>
          <w:color w:val="000000"/>
          <w:sz w:val="32"/>
          <w:szCs w:val="32"/>
          <w:lang w:val="en-US" w:eastAsia="zh-CN"/>
        </w:rPr>
        <w:t>认真贯彻落实中央八项规定精神，按照只减不增的要求从严控制“三公”经费</w:t>
      </w:r>
      <w:r>
        <w:rPr>
          <w:rFonts w:hint="default" w:ascii="方正仿宋_GBK" w:eastAsia="方正仿宋_GBK" w:cs="Times New Roman"/>
          <w:color w:val="000000"/>
          <w:sz w:val="32"/>
          <w:szCs w:val="32"/>
        </w:rPr>
        <w:t>。较上年支出数减少13.95万元，下降52.7%，主要原因是</w:t>
      </w:r>
      <w:r>
        <w:rPr>
          <w:rFonts w:hint="eastAsia" w:ascii="方正仿宋_GBK" w:eastAsia="方正仿宋_GBK" w:cs="Times New Roman"/>
          <w:color w:val="000000"/>
          <w:sz w:val="32"/>
          <w:szCs w:val="32"/>
          <w:lang w:val="en-US" w:eastAsia="zh-CN"/>
        </w:rPr>
        <w:t>2024年度未购置公务用车</w:t>
      </w:r>
      <w:r>
        <w:rPr>
          <w:rFonts w:hint="default" w:ascii="方正仿宋_GBK" w:eastAsia="方正仿宋_GBK" w:cs="Times New Roman"/>
          <w:color w:val="000000"/>
          <w:sz w:val="32"/>
          <w:szCs w:val="32"/>
        </w:rPr>
        <w:t>。</w:t>
      </w:r>
    </w:p>
    <w:p>
      <w:pPr>
        <w:pStyle w:val="18"/>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（二）“三公”经费分项支出情况</w:t>
      </w:r>
    </w:p>
    <w:p>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rPr>
      </w:pPr>
      <w:r>
        <w:rPr>
          <w:rFonts w:hint="default" w:ascii="方正仿宋_GBK" w:eastAsia="方正仿宋_GBK" w:cs="Times New Roman"/>
          <w:color w:val="000000"/>
          <w:sz w:val="32"/>
          <w:szCs w:val="32"/>
          <w:lang w:val="en-US" w:eastAsia="zh-CN"/>
        </w:rPr>
        <w:t>2024</w:t>
      </w:r>
      <w:r>
        <w:rPr>
          <w:rFonts w:hint="eastAsia" w:ascii="方正仿宋_GBK" w:eastAsia="方正仿宋_GBK" w:cs="Times New Roman"/>
          <w:color w:val="000000"/>
          <w:sz w:val="32"/>
          <w:szCs w:val="32"/>
          <w:lang w:val="en-US" w:eastAsia="zh-CN"/>
        </w:rPr>
        <w:t>年度本部门因公出国（境）费用0万元，费用支出</w:t>
      </w:r>
      <w:r>
        <w:rPr>
          <w:rFonts w:hint="default" w:ascii="方正仿宋_GBK" w:eastAsia="方正仿宋_GBK" w:cs="Times New Roman"/>
          <w:color w:val="000000"/>
          <w:sz w:val="32"/>
          <w:szCs w:val="32"/>
          <w:lang w:val="en-US" w:eastAsia="zh-CN"/>
        </w:rPr>
        <w:t>较年初预算数无增减</w:t>
      </w:r>
      <w:r>
        <w:rPr>
          <w:rFonts w:hint="eastAsia" w:ascii="方正仿宋_GBK" w:eastAsia="方正仿宋_GBK" w:cs="Times New Roman"/>
          <w:color w:val="000000"/>
          <w:sz w:val="32"/>
          <w:szCs w:val="32"/>
          <w:lang w:val="en-US" w:eastAsia="zh-CN"/>
        </w:rPr>
        <w:t>，</w:t>
      </w:r>
      <w:r>
        <w:rPr>
          <w:rFonts w:hint="default" w:ascii="方正仿宋_GBK" w:eastAsia="方正仿宋_GBK" w:cs="Times New Roman"/>
          <w:color w:val="000000"/>
          <w:sz w:val="32"/>
          <w:szCs w:val="32"/>
          <w:lang w:val="en-US" w:eastAsia="zh-CN"/>
        </w:rPr>
        <w:t>与2023年度相比，无增减</w:t>
      </w:r>
      <w:r>
        <w:rPr>
          <w:rFonts w:hint="eastAsia" w:ascii="方正仿宋_GBK" w:eastAsia="方正仿宋_GBK" w:cs="Times New Roman"/>
          <w:color w:val="000000"/>
          <w:sz w:val="32"/>
          <w:szCs w:val="32"/>
          <w:lang w:val="en-US" w:eastAsia="zh-CN"/>
        </w:rPr>
        <w:t>。</w:t>
      </w:r>
    </w:p>
    <w:p>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lang w:val="en-US" w:eastAsia="zh-CN"/>
        </w:rPr>
        <w:t>公务用车购置费</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lang w:val="en-US" w:eastAsia="zh-CN"/>
        </w:rPr>
        <w:t>万元，费用支出较年初预算数无增减，较上年支出数减少17.9万元，下降10</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lang w:val="en-US" w:eastAsia="zh-CN"/>
        </w:rPr>
        <w:t>%，主要原因是</w:t>
      </w:r>
      <w:r>
        <w:rPr>
          <w:rFonts w:hint="eastAsia" w:ascii="方正仿宋_GBK" w:eastAsia="方正仿宋_GBK" w:cs="Times New Roman"/>
          <w:color w:val="000000"/>
          <w:sz w:val="32"/>
          <w:szCs w:val="32"/>
          <w:lang w:val="en-US" w:eastAsia="zh-CN"/>
        </w:rPr>
        <w:t>2024年度未购置公务用车</w:t>
      </w:r>
      <w:r>
        <w:rPr>
          <w:rFonts w:hint="default" w:ascii="方正仿宋_GBK" w:eastAsia="方正仿宋_GBK" w:cs="Times New Roman"/>
          <w:color w:val="000000"/>
          <w:sz w:val="32"/>
          <w:szCs w:val="32"/>
          <w:lang w:val="en-US" w:eastAsia="zh-CN"/>
        </w:rPr>
        <w:t>。</w:t>
      </w:r>
    </w:p>
    <w:p>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lang w:val="en-US" w:eastAsia="zh-CN"/>
        </w:rPr>
        <w:t>公务用车运行维护费12.51万元，主要用于</w:t>
      </w:r>
      <w:r>
        <w:rPr>
          <w:rFonts w:hint="eastAsia" w:ascii="方正仿宋_GBK" w:eastAsia="方正仿宋_GBK" w:cs="Times New Roman"/>
          <w:color w:val="000000"/>
          <w:sz w:val="32"/>
          <w:szCs w:val="32"/>
          <w:lang w:val="en-US" w:eastAsia="zh-CN"/>
        </w:rPr>
        <w:t>机要文件交换、市内因公出行、安全业务检查等工作所需车辆的燃料费、维修费、保险费等</w:t>
      </w:r>
      <w:r>
        <w:rPr>
          <w:rFonts w:hint="default" w:ascii="方正仿宋_GBK" w:eastAsia="方正仿宋_GBK" w:cs="Times New Roman"/>
          <w:color w:val="000000"/>
          <w:sz w:val="32"/>
          <w:szCs w:val="32"/>
          <w:lang w:val="en-US" w:eastAsia="zh-CN"/>
        </w:rPr>
        <w:t>。费用支出较年初预算数减少7.49万元，下降37.5%，主要原因是</w:t>
      </w:r>
      <w:r>
        <w:rPr>
          <w:rFonts w:hint="eastAsia" w:ascii="方正仿宋_GBK" w:eastAsia="方正仿宋_GBK" w:cs="Times New Roman"/>
          <w:color w:val="000000"/>
          <w:sz w:val="32"/>
          <w:szCs w:val="32"/>
          <w:lang w:val="en-US" w:eastAsia="zh-CN"/>
        </w:rPr>
        <w:t>认真贯彻落实中央八项规定精神，按照只减不增的要求从严控制“三公”经费</w:t>
      </w:r>
      <w:r>
        <w:rPr>
          <w:rFonts w:hint="default" w:ascii="方正仿宋_GBK" w:eastAsia="方正仿宋_GBK" w:cs="Times New Roman"/>
          <w:color w:val="000000"/>
          <w:sz w:val="32"/>
          <w:szCs w:val="32"/>
          <w:lang w:val="en-US" w:eastAsia="zh-CN"/>
        </w:rPr>
        <w:t>。较上年支出数增加3.95万元，增长46.1%，主要原因是</w:t>
      </w:r>
      <w:r>
        <w:rPr>
          <w:rFonts w:hint="eastAsia" w:ascii="方正仿宋_GBK" w:eastAsia="方正仿宋_GBK" w:cs="Times New Roman"/>
          <w:color w:val="000000"/>
          <w:sz w:val="32"/>
          <w:szCs w:val="32"/>
          <w:lang w:val="en-US" w:eastAsia="zh-CN"/>
        </w:rPr>
        <w:t>随着公务用车使用年限增加，维修维护费用增大</w:t>
      </w:r>
      <w:r>
        <w:rPr>
          <w:rFonts w:hint="default" w:ascii="方正仿宋_GBK" w:eastAsia="方正仿宋_GBK" w:cs="Times New Roman"/>
          <w:color w:val="000000"/>
          <w:sz w:val="32"/>
          <w:szCs w:val="32"/>
          <w:lang w:val="en-US" w:eastAsia="zh-CN"/>
        </w:rPr>
        <w:t>。</w:t>
      </w:r>
    </w:p>
    <w:p>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lang w:val="en-US" w:eastAsia="zh-CN"/>
        </w:rPr>
        <w:t>公务接待费</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lang w:val="en-US" w:eastAsia="zh-CN"/>
        </w:rPr>
        <w:t>万元，费用支出较年初预算数减少3万元，下降100%，主要原因是</w:t>
      </w:r>
      <w:r>
        <w:rPr>
          <w:rFonts w:hint="eastAsia" w:ascii="方正仿宋_GBK" w:eastAsia="方正仿宋_GBK" w:cs="Times New Roman"/>
          <w:color w:val="000000"/>
          <w:sz w:val="32"/>
          <w:szCs w:val="32"/>
          <w:lang w:val="en-US" w:eastAsia="zh-CN"/>
        </w:rPr>
        <w:t>认真贯彻落实中央八项规定精神，按照只减不增的要求从严控制“三公”经费，</w:t>
      </w:r>
      <w:r>
        <w:rPr>
          <w:rFonts w:hint="default" w:ascii="方正仿宋_GBK" w:eastAsia="方正仿宋_GBK" w:cs="Times New Roman"/>
          <w:color w:val="000000"/>
          <w:sz w:val="32"/>
          <w:szCs w:val="32"/>
          <w:lang w:val="en-US" w:eastAsia="zh-CN"/>
        </w:rPr>
        <w:t>较上年支出数无增减。</w:t>
      </w:r>
    </w:p>
    <w:p>
      <w:pPr>
        <w:pStyle w:val="18"/>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（三）“三公”经费实物量情况</w:t>
      </w:r>
    </w:p>
    <w:p>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lang w:val="en-US" w:eastAsia="zh-CN"/>
        </w:rPr>
        <w:t>2024年度本部门因公出国（境）共计0个团组，0人；公务用车购置0辆，公务车保有量为5辆；国内公务接待0批次0人，其中：国内外事接待0批次，0人；国（境）外公务接待0批次，0人。2024年本部门人均接待费0元，车均购置费0万元，车均维护费2.5万元。</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四、其他需要说明的事项</w:t>
      </w:r>
    </w:p>
    <w:p>
      <w:pPr>
        <w:pStyle w:val="18"/>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（一）财政拨款会议费、培训费和差旅费情况说明</w:t>
      </w:r>
    </w:p>
    <w:p>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lang w:val="en-US" w:eastAsia="zh-CN"/>
        </w:rPr>
        <w:t>本年度会议费支出3.07万元，与2023年度相比，增加2.44万元，增长387.3%，主要原因是</w:t>
      </w:r>
      <w:r>
        <w:rPr>
          <w:rFonts w:hint="eastAsia" w:ascii="方正仿宋_GBK" w:eastAsia="方正仿宋_GBK" w:cs="Times New Roman"/>
          <w:color w:val="000000"/>
          <w:sz w:val="32"/>
          <w:szCs w:val="32"/>
          <w:lang w:val="en-US" w:eastAsia="zh-CN"/>
        </w:rPr>
        <w:t>开展辖区企业高质量发展工作会</w:t>
      </w:r>
      <w:r>
        <w:rPr>
          <w:rFonts w:hint="default" w:ascii="方正仿宋_GBK" w:eastAsia="方正仿宋_GBK" w:cs="Times New Roman"/>
          <w:color w:val="000000"/>
          <w:sz w:val="32"/>
          <w:szCs w:val="32"/>
          <w:lang w:val="en-US" w:eastAsia="zh-CN"/>
        </w:rPr>
        <w:t>。本年度培训费支出1.97万元，与2023年度相比，减少1.89万元，下降49%，主要原因是</w:t>
      </w:r>
      <w:r>
        <w:rPr>
          <w:rFonts w:hint="eastAsia" w:ascii="方正仿宋_GBK" w:eastAsia="方正仿宋_GBK" w:cs="Times New Roman"/>
          <w:color w:val="000000"/>
          <w:sz w:val="32"/>
          <w:szCs w:val="32"/>
          <w:lang w:val="en-US" w:eastAsia="zh-CN"/>
        </w:rPr>
        <w:t>采取灵活培训方式，减少单位内部培训次数</w:t>
      </w:r>
      <w:r>
        <w:rPr>
          <w:rFonts w:hint="default" w:ascii="方正仿宋_GBK" w:eastAsia="方正仿宋_GBK" w:cs="Times New Roman"/>
          <w:color w:val="000000"/>
          <w:sz w:val="32"/>
          <w:szCs w:val="32"/>
          <w:lang w:val="en-US" w:eastAsia="zh-CN"/>
        </w:rPr>
        <w:t>。本年度差旅费支出2.56万元，与2023年度相比，</w:t>
      </w:r>
      <w:bookmarkStart w:id="0" w:name="_GoBack"/>
      <w:bookmarkEnd w:id="0"/>
      <w:r>
        <w:rPr>
          <w:rFonts w:hint="default" w:ascii="方正仿宋_GBK" w:eastAsia="方正仿宋_GBK" w:cs="Times New Roman"/>
          <w:color w:val="000000"/>
          <w:sz w:val="32"/>
          <w:szCs w:val="32"/>
          <w:lang w:val="en-US" w:eastAsia="zh-CN"/>
        </w:rPr>
        <w:t>减少1.5万元，下降37%，主要原因</w:t>
      </w:r>
      <w:r>
        <w:rPr>
          <w:rFonts w:hint="eastAsia" w:ascii="方正仿宋_GBK" w:eastAsia="方正仿宋_GBK" w:cs="Times New Roman"/>
          <w:color w:val="000000"/>
          <w:sz w:val="32"/>
          <w:szCs w:val="32"/>
          <w:lang w:val="en-US" w:eastAsia="zh-CN"/>
        </w:rPr>
        <w:t>是减少招商引资出差费用</w:t>
      </w:r>
      <w:r>
        <w:rPr>
          <w:rFonts w:hint="default" w:ascii="方正仿宋_GBK" w:eastAsia="方正仿宋_GBK" w:cs="Times New Roman"/>
          <w:color w:val="000000"/>
          <w:sz w:val="32"/>
          <w:szCs w:val="32"/>
          <w:lang w:val="en-US" w:eastAsia="zh-CN"/>
        </w:rPr>
        <w:t>。</w:t>
      </w:r>
    </w:p>
    <w:p>
      <w:pPr>
        <w:pStyle w:val="18"/>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（二）机关运行经费情况说明</w:t>
      </w:r>
    </w:p>
    <w:p>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lang w:val="en-US" w:eastAsia="zh-CN"/>
        </w:rPr>
        <w:t>2024年度本部门机关运行经费支出197.54万元，机关运行经费主要用于开支</w:t>
      </w:r>
      <w:r>
        <w:rPr>
          <w:rFonts w:hint="eastAsia" w:ascii="方正仿宋_GBK" w:eastAsia="方正仿宋_GBK" w:cs="Times New Roman"/>
          <w:color w:val="000000"/>
          <w:sz w:val="32"/>
          <w:szCs w:val="32"/>
          <w:lang w:val="en-US" w:eastAsia="zh-CN"/>
        </w:rPr>
        <w:t>办公费、印刷费、邮电费、差旅费、机关维修（护）费</w:t>
      </w:r>
      <w:r>
        <w:rPr>
          <w:rFonts w:hint="default" w:ascii="方正仿宋_GBK" w:eastAsia="方正仿宋_GBK" w:cs="Times New Roman"/>
          <w:color w:val="000000"/>
          <w:sz w:val="32"/>
          <w:szCs w:val="32"/>
          <w:lang w:val="en-US" w:eastAsia="zh-CN"/>
        </w:rPr>
        <w:t>。机关运行经费较上年支出数减少22.25万元，下降10.1%，主要原因是</w:t>
      </w:r>
      <w:r>
        <w:rPr>
          <w:rFonts w:hint="eastAsia" w:ascii="方正仿宋_GBK" w:eastAsia="方正仿宋_GBK" w:cs="Times New Roman"/>
          <w:color w:val="000000"/>
          <w:sz w:val="32"/>
          <w:szCs w:val="32"/>
          <w:lang w:val="en-US" w:eastAsia="zh-CN"/>
        </w:rPr>
        <w:t>厉行节约常态化，严控日常公用经费支出</w:t>
      </w:r>
      <w:r>
        <w:rPr>
          <w:rFonts w:hint="default" w:ascii="方正仿宋_GBK" w:eastAsia="方正仿宋_GBK" w:cs="Times New Roman"/>
          <w:color w:val="000000"/>
          <w:sz w:val="32"/>
          <w:szCs w:val="32"/>
          <w:lang w:val="en-US" w:eastAsia="zh-CN"/>
        </w:rPr>
        <w:t>。</w:t>
      </w:r>
    </w:p>
    <w:p>
      <w:pPr>
        <w:pStyle w:val="18"/>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（三）国有资产占用情况说明</w:t>
      </w:r>
    </w:p>
    <w:p>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lang w:val="en-US" w:eastAsia="zh-CN"/>
        </w:rPr>
        <w:t>截至2024年12月31日，本部门共有车辆5辆，其中，副部（省）级及以上领导用车0辆、主要负责人用车0辆、机要通信用车1辆、应急保障用车4辆、执法执勤用车0辆，特种专业技术用车0辆，离退休干部用车0辆。单价100万元（含）以上专用设备0台（套）。</w:t>
      </w:r>
    </w:p>
    <w:p>
      <w:pPr>
        <w:pStyle w:val="18"/>
        <w:keepNext w:val="0"/>
        <w:keepLines w:val="0"/>
        <w:pageBreakBefore w:val="0"/>
        <w:kinsoku/>
        <w:wordWrap/>
        <w:overflowPunct/>
        <w:topLinePunct w:val="0"/>
        <w:autoSpaceDE w:val="0"/>
        <w:bidi w:val="0"/>
        <w:spacing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（四）政府采购支出情况说明</w:t>
      </w:r>
    </w:p>
    <w:p>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eastAsia="方正仿宋_GBK" w:cs="Times New Roman"/>
          <w:color w:val="000000"/>
          <w:sz w:val="32"/>
          <w:szCs w:val="32"/>
          <w:lang w:val="en-US" w:eastAsia="zh-CN"/>
        </w:rPr>
      </w:pPr>
      <w:r>
        <w:rPr>
          <w:rFonts w:hint="default" w:ascii="方正仿宋_GBK" w:eastAsia="方正仿宋_GBK" w:cs="Times New Roman"/>
          <w:color w:val="000000"/>
          <w:sz w:val="32"/>
          <w:szCs w:val="32"/>
          <w:lang w:val="en-US" w:eastAsia="zh-CN"/>
        </w:rPr>
        <w:t>2024年度本部门政府采购支出总额0.47万元，其中：政府采购货物支出0.47万元、政府采购工程支出</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lang w:val="en-US" w:eastAsia="zh-CN"/>
        </w:rPr>
        <w:t>万元、政府采购服务支出</w:t>
      </w:r>
      <w:r>
        <w:rPr>
          <w:rFonts w:hint="eastAsia" w:ascii="方正仿宋_GBK" w:eastAsia="方正仿宋_GBK" w:cs="Times New Roman"/>
          <w:color w:val="000000"/>
          <w:sz w:val="32"/>
          <w:szCs w:val="32"/>
          <w:lang w:val="en-US" w:eastAsia="zh-CN"/>
        </w:rPr>
        <w:t>0</w:t>
      </w:r>
      <w:r>
        <w:rPr>
          <w:rFonts w:hint="default" w:ascii="方正仿宋_GBK" w:eastAsia="方正仿宋_GBK" w:cs="Times New Roman"/>
          <w:color w:val="000000"/>
          <w:sz w:val="32"/>
          <w:szCs w:val="32"/>
          <w:lang w:val="en-US" w:eastAsia="zh-CN"/>
        </w:rPr>
        <w:t>万元。授予中小企业合同金额0.47万元，占政府采购支出总额的100%，其中：授予小微企业合同金额0.47万元，占政府采购支出总额的100%</w:t>
      </w:r>
      <w:r>
        <w:rPr>
          <w:rFonts w:hint="eastAsia" w:ascii="方正仿宋_GBK" w:eastAsia="方正仿宋_GBK" w:cs="Times New Roman"/>
          <w:color w:val="000000"/>
          <w:sz w:val="32"/>
          <w:szCs w:val="32"/>
          <w:lang w:val="en-US" w:eastAsia="zh-CN"/>
        </w:rPr>
        <w:t>，</w:t>
      </w:r>
      <w:r>
        <w:rPr>
          <w:rFonts w:hint="default" w:ascii="方正仿宋_GBK" w:eastAsia="方正仿宋_GBK" w:cs="Times New Roman"/>
          <w:color w:val="000000"/>
          <w:sz w:val="32"/>
          <w:szCs w:val="32"/>
          <w:lang w:val="en-US" w:eastAsia="zh-CN"/>
        </w:rPr>
        <w:t>主要用于采购</w:t>
      </w:r>
      <w:r>
        <w:rPr>
          <w:rFonts w:hint="eastAsia" w:ascii="方正仿宋_GBK" w:eastAsia="方正仿宋_GBK" w:cs="Times New Roman"/>
          <w:color w:val="000000"/>
          <w:sz w:val="32"/>
          <w:szCs w:val="32"/>
          <w:lang w:val="en-US" w:eastAsia="zh-CN"/>
        </w:rPr>
        <w:t>3台打印机</w:t>
      </w:r>
      <w:r>
        <w:rPr>
          <w:rFonts w:hint="default" w:ascii="方正仿宋_GBK" w:eastAsia="方正仿宋_GBK" w:cs="Times New Roman"/>
          <w:color w:val="000000"/>
          <w:sz w:val="32"/>
          <w:szCs w:val="32"/>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五、2024年度预算绩效管理情况说明</w:t>
      </w:r>
    </w:p>
    <w:p>
      <w:pPr>
        <w:pStyle w:val="19"/>
        <w:keepNext w:val="0"/>
        <w:keepLines w:val="0"/>
        <w:pageBreakBefore w:val="0"/>
        <w:kinsoku/>
        <w:wordWrap/>
        <w:overflowPunct/>
        <w:topLinePunct w:val="0"/>
        <w:autoSpaceDE w:val="0"/>
        <w:bidi w:val="0"/>
        <w:spacing w:before="0" w:beforeAutospacing="0" w:after="0" w:afterAutospacing="0" w:line="600" w:lineRule="exact"/>
        <w:ind w:firstLine="640" w:firstLineChars="200"/>
        <w:jc w:val="left"/>
        <w:textAlignment w:val="auto"/>
        <w:rPr>
          <w:rFonts w:hint="eastAsia" w:ascii="楷体" w:hAnsi="楷体" w:eastAsia="楷体" w:cs="楷体"/>
          <w:b/>
          <w:bCs/>
          <w:sz w:val="32"/>
          <w:szCs w:val="32"/>
          <w:shd w:val="clear" w:color="auto" w:fill="FFFFFF"/>
        </w:rPr>
      </w:pPr>
      <w:r>
        <w:rPr>
          <w:rFonts w:hint="eastAsia" w:ascii="方正楷体_GBK" w:hAnsi="方正楷体_GBK" w:eastAsia="方正楷体_GBK" w:cs="方正楷体_GBK"/>
          <w:kern w:val="0"/>
          <w:sz w:val="32"/>
          <w:szCs w:val="32"/>
          <w:lang w:val="zh-CN" w:eastAsia="zh-CN" w:bidi="ar-SA"/>
        </w:rPr>
        <w:t>（一）部门自评情况</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根据预算绩效管理要求，我部门对部门整体和</w:t>
      </w:r>
      <w:r>
        <w:rPr>
          <w:rFonts w:hint="eastAsia" w:ascii="方正仿宋_GBK" w:hAnsi="方正仿宋_GBK" w:eastAsia="方正仿宋_GBK" w:cs="方正仿宋_GBK"/>
          <w:sz w:val="32"/>
          <w:szCs w:val="32"/>
          <w:shd w:val="clear" w:color="auto" w:fill="FFFFFF"/>
          <w:lang w:val="en-US" w:eastAsia="zh-CN"/>
        </w:rPr>
        <w:t>72</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default" w:ascii="方正仿宋_GBK" w:eastAsia="方正仿宋_GBK" w:cs="Times New Roman"/>
          <w:color w:val="000000"/>
          <w:sz w:val="32"/>
          <w:szCs w:val="32"/>
        </w:rPr>
        <w:t>2782.79</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部门整体绩效自评表</w:t>
      </w:r>
    </w:p>
    <w:tbl>
      <w:tblPr>
        <w:tblStyle w:val="14"/>
        <w:tblW w:w="8385"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6"/>
        <w:gridCol w:w="600"/>
        <w:gridCol w:w="765"/>
        <w:gridCol w:w="840"/>
        <w:gridCol w:w="705"/>
        <w:gridCol w:w="638"/>
        <w:gridCol w:w="622"/>
        <w:gridCol w:w="713"/>
        <w:gridCol w:w="537"/>
        <w:gridCol w:w="730"/>
        <w:gridCol w:w="540"/>
        <w:gridCol w:w="41"/>
        <w:gridCol w:w="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9" w:hRule="atLeast"/>
        </w:trPr>
        <w:tc>
          <w:tcPr>
            <w:tcW w:w="8385" w:type="dxa"/>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寰蒋闆呴粦" w:hAnsi="寰蒋闆呴粦" w:eastAsia="寰蒋闆呴粦"/>
                <w:b/>
                <w:color w:val="000000"/>
                <w:sz w:val="40"/>
                <w:szCs w:val="24"/>
              </w:rPr>
            </w:pPr>
            <w:r>
              <w:rPr>
                <w:rFonts w:hint="eastAsia" w:ascii="方正仿宋_GBK" w:hAnsi="方正仿宋_GBK" w:eastAsia="方正仿宋_GBK" w:cs="方正仿宋_GBK"/>
                <w:b w:val="0"/>
                <w:bCs/>
                <w:color w:val="000000"/>
                <w:sz w:val="30"/>
                <w:szCs w:val="30"/>
              </w:rPr>
              <w:t>202</w:t>
            </w:r>
            <w:r>
              <w:rPr>
                <w:rFonts w:hint="eastAsia" w:ascii="方正仿宋_GBK" w:hAnsi="方正仿宋_GBK" w:eastAsia="方正仿宋_GBK" w:cs="方正仿宋_GBK"/>
                <w:b w:val="0"/>
                <w:bCs/>
                <w:color w:val="000000"/>
                <w:sz w:val="30"/>
                <w:szCs w:val="30"/>
                <w:lang w:val="en-US" w:eastAsia="zh-CN"/>
              </w:rPr>
              <w:t>4</w:t>
            </w:r>
            <w:r>
              <w:rPr>
                <w:rFonts w:hint="eastAsia" w:ascii="方正仿宋_GBK" w:hAnsi="方正仿宋_GBK" w:eastAsia="方正仿宋_GBK" w:cs="方正仿宋_GBK"/>
                <w:b w:val="0"/>
                <w:bCs/>
                <w:color w:val="000000"/>
                <w:sz w:val="30"/>
                <w:szCs w:val="30"/>
              </w:rPr>
              <w:t>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385" w:type="dxa"/>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right"/>
              <w:rPr>
                <w:rFonts w:hint="eastAsia" w:ascii="方正仿宋_GBK" w:hAnsi="方正仿宋_GBK" w:eastAsia="方正仿宋_GBK" w:cs="方正仿宋_GBK"/>
                <w:b/>
                <w:color w:val="000000"/>
                <w:sz w:val="18"/>
                <w:szCs w:val="18"/>
              </w:rPr>
            </w:pPr>
            <w:r>
              <w:rPr>
                <w:rFonts w:hint="eastAsia" w:ascii="方正仿宋_GBK" w:hAnsi="方正仿宋_GBK" w:eastAsia="方正仿宋_GBK" w:cs="方正仿宋_GBK"/>
                <w:b/>
                <w:color w:val="00000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项目名称：</w:t>
            </w:r>
          </w:p>
        </w:tc>
        <w:tc>
          <w:tcPr>
            <w:tcW w:w="13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重庆市九龙坡区石板镇人民政府整体监控</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项目编码：</w:t>
            </w:r>
          </w:p>
        </w:tc>
        <w:tc>
          <w:tcPr>
            <w:tcW w:w="13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50019300024P000006</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自评总分：</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90.87</w:t>
            </w:r>
          </w:p>
        </w:tc>
        <w:tc>
          <w:tcPr>
            <w:tcW w:w="53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c>
          <w:tcPr>
            <w:tcW w:w="1919"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trPr>
        <w:tc>
          <w:tcPr>
            <w:tcW w:w="10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项目主管部门：</w:t>
            </w:r>
          </w:p>
        </w:tc>
        <w:tc>
          <w:tcPr>
            <w:tcW w:w="136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307-重庆市九龙坡区石板镇人民政府</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财政归口处室：</w:t>
            </w:r>
          </w:p>
        </w:tc>
        <w:tc>
          <w:tcPr>
            <w:tcW w:w="13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003-预算科</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部门联系人：</w:t>
            </w:r>
          </w:p>
        </w:tc>
        <w:tc>
          <w:tcPr>
            <w:tcW w:w="7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蒲主任</w:t>
            </w:r>
          </w:p>
        </w:tc>
        <w:tc>
          <w:tcPr>
            <w:tcW w:w="53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联系电话：</w:t>
            </w:r>
          </w:p>
        </w:tc>
        <w:tc>
          <w:tcPr>
            <w:tcW w:w="1919"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13594152760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8385" w:type="dxa"/>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6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16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年初预算数</w:t>
            </w:r>
          </w:p>
        </w:tc>
        <w:tc>
          <w:tcPr>
            <w:tcW w:w="13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全年（调整）预算数</w:t>
            </w:r>
          </w:p>
        </w:tc>
        <w:tc>
          <w:tcPr>
            <w:tcW w:w="133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全年执行数</w:t>
            </w:r>
          </w:p>
        </w:tc>
        <w:tc>
          <w:tcPr>
            <w:tcW w:w="53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w:t>
            </w:r>
          </w:p>
        </w:tc>
        <w:tc>
          <w:tcPr>
            <w:tcW w:w="1311"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执行率权重</w:t>
            </w:r>
          </w:p>
        </w:tc>
        <w:tc>
          <w:tcPr>
            <w:tcW w:w="60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6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年度总金额</w:t>
            </w:r>
          </w:p>
        </w:tc>
        <w:tc>
          <w:tcPr>
            <w:tcW w:w="1605" w:type="dxa"/>
            <w:gridSpan w:val="2"/>
            <w:tcBorders>
              <w:top w:val="single" w:color="auto" w:sz="6" w:space="0"/>
              <w:left w:val="nil"/>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3347.47</w:t>
            </w:r>
          </w:p>
        </w:tc>
        <w:tc>
          <w:tcPr>
            <w:tcW w:w="1343" w:type="dxa"/>
            <w:gridSpan w:val="2"/>
            <w:tcBorders>
              <w:top w:val="single" w:color="auto" w:sz="6" w:space="0"/>
              <w:left w:val="nil"/>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4909.78</w:t>
            </w:r>
          </w:p>
        </w:tc>
        <w:tc>
          <w:tcPr>
            <w:tcW w:w="1335" w:type="dxa"/>
            <w:gridSpan w:val="2"/>
            <w:tcBorders>
              <w:top w:val="single" w:color="auto" w:sz="6" w:space="0"/>
              <w:left w:val="nil"/>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4845.95</w:t>
            </w:r>
          </w:p>
        </w:tc>
        <w:tc>
          <w:tcPr>
            <w:tcW w:w="53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1311"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60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9" w:hRule="atLeast"/>
        </w:trPr>
        <w:tc>
          <w:tcPr>
            <w:tcW w:w="16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其中：财政拨款</w:t>
            </w:r>
          </w:p>
        </w:tc>
        <w:tc>
          <w:tcPr>
            <w:tcW w:w="1605" w:type="dxa"/>
            <w:gridSpan w:val="2"/>
            <w:tcBorders>
              <w:top w:val="single" w:color="auto" w:sz="6" w:space="0"/>
              <w:left w:val="nil"/>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3347.47</w:t>
            </w:r>
          </w:p>
        </w:tc>
        <w:tc>
          <w:tcPr>
            <w:tcW w:w="1343" w:type="dxa"/>
            <w:gridSpan w:val="2"/>
            <w:tcBorders>
              <w:top w:val="single" w:color="auto" w:sz="6" w:space="0"/>
              <w:left w:val="nil"/>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4909.78</w:t>
            </w:r>
          </w:p>
        </w:tc>
        <w:tc>
          <w:tcPr>
            <w:tcW w:w="1335" w:type="dxa"/>
            <w:gridSpan w:val="2"/>
            <w:tcBorders>
              <w:top w:val="single" w:color="auto" w:sz="6" w:space="0"/>
              <w:left w:val="nil"/>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4845.95</w:t>
            </w:r>
          </w:p>
        </w:tc>
        <w:tc>
          <w:tcPr>
            <w:tcW w:w="53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98.7</w:t>
            </w:r>
          </w:p>
        </w:tc>
        <w:tc>
          <w:tcPr>
            <w:tcW w:w="1311"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w:t>
            </w:r>
          </w:p>
        </w:tc>
        <w:tc>
          <w:tcPr>
            <w:tcW w:w="60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9" w:hRule="atLeast"/>
        </w:trPr>
        <w:tc>
          <w:tcPr>
            <w:tcW w:w="16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一般公共预算</w:t>
            </w:r>
          </w:p>
        </w:tc>
        <w:tc>
          <w:tcPr>
            <w:tcW w:w="1605" w:type="dxa"/>
            <w:gridSpan w:val="2"/>
            <w:tcBorders>
              <w:top w:val="single" w:color="auto" w:sz="6" w:space="0"/>
              <w:left w:val="nil"/>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3347.47</w:t>
            </w:r>
          </w:p>
        </w:tc>
        <w:tc>
          <w:tcPr>
            <w:tcW w:w="1343" w:type="dxa"/>
            <w:gridSpan w:val="2"/>
            <w:tcBorders>
              <w:top w:val="single" w:color="auto" w:sz="6" w:space="0"/>
              <w:left w:val="nil"/>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4909.78</w:t>
            </w:r>
          </w:p>
        </w:tc>
        <w:tc>
          <w:tcPr>
            <w:tcW w:w="1335" w:type="dxa"/>
            <w:gridSpan w:val="2"/>
            <w:tcBorders>
              <w:top w:val="single" w:color="auto" w:sz="6" w:space="0"/>
              <w:left w:val="nil"/>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4845.95</w:t>
            </w:r>
          </w:p>
        </w:tc>
        <w:tc>
          <w:tcPr>
            <w:tcW w:w="53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98.71</w:t>
            </w:r>
          </w:p>
        </w:tc>
        <w:tc>
          <w:tcPr>
            <w:tcW w:w="1311"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60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385" w:type="dxa"/>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年初绩效目标</w:t>
            </w:r>
          </w:p>
        </w:tc>
        <w:tc>
          <w:tcPr>
            <w:tcW w:w="321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全年（调整）绩效目标</w:t>
            </w:r>
          </w:p>
        </w:tc>
        <w:tc>
          <w:tcPr>
            <w:tcW w:w="1919"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40" w:hRule="atLeast"/>
        </w:trPr>
        <w:tc>
          <w:tcPr>
            <w:tcW w:w="325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在今年收支预算内，确保完成以下整体目标：1.持续强化党建引领、扮靓党建品牌、抓实党建业务，进一步加强党的建设，不断提高党组织的凝聚力和战斗力，履行“四方责任”；2.大力发展和引进创新型、科技型、开放型产业，不断推动经济结构转型升级，全年规上工业总产值达到14.5亿元；3.坚守底线、科学施策，全面履行生态环境保护第一责任；4.根据中央、市级、区级文件要求，及时发放低保、特困、计生奖特扶、残疾人等各项慰问金及救助补贴，保障帮扶人员基本生活，送去党和政府的关怀；5.加大文物保护力度，坚持文物安全巡查，积极开展文体活动，丰富群众精神生活；6.积极宣传就业政策，就业政策宣传全覆盖100%，加大产业扶持力度，积极开展就业适应性培训、职业技能培训等；7.全面落实城市管理工作。抓好市容环境整治，加强市政设施维护，持续做好绿化管护；加强垃圾分类宣传，建立健全收运处置体系，提升运行管理能力，持续改善农村地区环境卫生，为加快建设山清水秀美丽之地，实现乡村全面振兴提供良好的环境支撑；8.强化组织领导，充分发挥安委办“指挥棒”作用，落实日常安全生产监管，保障辖区内无安全生产事故发生，强化道交管理，严控事故隐患，强化应急管理，进一步提升应急处突能力。</w:t>
            </w:r>
          </w:p>
        </w:tc>
        <w:tc>
          <w:tcPr>
            <w:tcW w:w="321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1919"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持续强化党建引领、扮靓党建品牌、抓实党建业务，进一步加强党的建设，不断提高党组织的凝聚力和战斗力，履行“四方责任”；2.大力发展和引进创新型、科技型、开放型产业，不断推动经济结构转型升级，全年规上工业总产值达到14.5亿元；3.坚守底线、科学施策，全面履行生态环境保护第一责任；4.根据中央、市级、区级文件要求，及时发放低保、特困、计生奖特扶、残疾人等各项慰问金及救助补贴，保障帮扶人员基本生活，送去党和政府的关怀；5.加大文物保护力度，坚持文物安全巡查，积极开展文体活动，丰富群众精神生活；6.积极宣传就业政策，就业政策宣传全覆盖100%，加大产业扶持力度，积极开展就业适应性培训、职业技能培训等；7.全面落实城市管理工作。抓好市容环境整治，加强市政设施维护，持续做好绿化管护；加强垃圾分类宣传，建立健全收运处置体系，提升运行管理能力，持续改善农村地区环境卫生，为加快建设山清水秀美丽之地，实现乡村全面振兴提供良好的环境支撑；8.强化组织领导，充分发挥安委办“指挥棒”作用，落实日常安全生产监管，保障辖区内无安全生产事故发生，强化道交管理，严控事故隐患，强化应急管理，进一步提升应急处突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8385" w:type="dxa"/>
            <w:gridSpan w:val="1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指标名称</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计量单位</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指标性质</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指标值</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全年完成值</w:t>
            </w:r>
          </w:p>
        </w:tc>
        <w:tc>
          <w:tcPr>
            <w:tcW w:w="6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偏离度（%）</w:t>
            </w:r>
          </w:p>
        </w:tc>
        <w:tc>
          <w:tcPr>
            <w:tcW w:w="133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得分系数（%）</w:t>
            </w:r>
          </w:p>
        </w:tc>
        <w:tc>
          <w:tcPr>
            <w:tcW w:w="53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指标权重</w:t>
            </w:r>
          </w:p>
        </w:tc>
        <w:tc>
          <w:tcPr>
            <w:tcW w:w="7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指标得分</w:t>
            </w:r>
          </w:p>
        </w:tc>
        <w:tc>
          <w:tcPr>
            <w:tcW w:w="5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是否核心指标</w:t>
            </w:r>
          </w:p>
        </w:tc>
        <w:tc>
          <w:tcPr>
            <w:tcW w:w="6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困难群众关怀</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人数</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150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154</w:t>
            </w:r>
          </w:p>
        </w:tc>
        <w:tc>
          <w:tcPr>
            <w:tcW w:w="6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2.67</w:t>
            </w:r>
          </w:p>
        </w:tc>
        <w:tc>
          <w:tcPr>
            <w:tcW w:w="133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53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20</w:t>
            </w:r>
          </w:p>
        </w:tc>
        <w:tc>
          <w:tcPr>
            <w:tcW w:w="7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20</w:t>
            </w:r>
          </w:p>
        </w:tc>
        <w:tc>
          <w:tcPr>
            <w:tcW w:w="5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是</w:t>
            </w:r>
          </w:p>
        </w:tc>
        <w:tc>
          <w:tcPr>
            <w:tcW w:w="6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9" w:hRule="atLeast"/>
        </w:trPr>
        <w:tc>
          <w:tcPr>
            <w:tcW w:w="10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劝导交通违法行为</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起</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300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236</w:t>
            </w:r>
          </w:p>
        </w:tc>
        <w:tc>
          <w:tcPr>
            <w:tcW w:w="6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21.33</w:t>
            </w:r>
          </w:p>
        </w:tc>
        <w:tc>
          <w:tcPr>
            <w:tcW w:w="133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53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w:t>
            </w:r>
          </w:p>
        </w:tc>
        <w:tc>
          <w:tcPr>
            <w:tcW w:w="7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5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是</w:t>
            </w:r>
          </w:p>
        </w:tc>
        <w:tc>
          <w:tcPr>
            <w:tcW w:w="6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实际劝导次数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9" w:hRule="atLeast"/>
        </w:trPr>
        <w:tc>
          <w:tcPr>
            <w:tcW w:w="10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全年空气质量优良天数</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天</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300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305</w:t>
            </w:r>
          </w:p>
        </w:tc>
        <w:tc>
          <w:tcPr>
            <w:tcW w:w="6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1.67</w:t>
            </w:r>
          </w:p>
        </w:tc>
        <w:tc>
          <w:tcPr>
            <w:tcW w:w="133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53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20</w:t>
            </w:r>
          </w:p>
        </w:tc>
        <w:tc>
          <w:tcPr>
            <w:tcW w:w="7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20</w:t>
            </w:r>
          </w:p>
        </w:tc>
        <w:tc>
          <w:tcPr>
            <w:tcW w:w="5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是</w:t>
            </w:r>
          </w:p>
        </w:tc>
        <w:tc>
          <w:tcPr>
            <w:tcW w:w="6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优抚经费发放及时率</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6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133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53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w:t>
            </w:r>
          </w:p>
        </w:tc>
        <w:tc>
          <w:tcPr>
            <w:tcW w:w="7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w:t>
            </w:r>
          </w:p>
        </w:tc>
        <w:tc>
          <w:tcPr>
            <w:tcW w:w="5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否</w:t>
            </w:r>
          </w:p>
        </w:tc>
        <w:tc>
          <w:tcPr>
            <w:tcW w:w="6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开展文体活动</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场</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6</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6</w:t>
            </w:r>
          </w:p>
        </w:tc>
        <w:tc>
          <w:tcPr>
            <w:tcW w:w="6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133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53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w:t>
            </w:r>
          </w:p>
        </w:tc>
        <w:tc>
          <w:tcPr>
            <w:tcW w:w="7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w:t>
            </w:r>
          </w:p>
        </w:tc>
        <w:tc>
          <w:tcPr>
            <w:tcW w:w="5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是</w:t>
            </w:r>
          </w:p>
        </w:tc>
        <w:tc>
          <w:tcPr>
            <w:tcW w:w="6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9" w:hRule="atLeast"/>
        </w:trPr>
        <w:tc>
          <w:tcPr>
            <w:tcW w:w="10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重特大突发环境事件</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起</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6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133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53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w:t>
            </w:r>
          </w:p>
        </w:tc>
        <w:tc>
          <w:tcPr>
            <w:tcW w:w="7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w:t>
            </w:r>
          </w:p>
        </w:tc>
        <w:tc>
          <w:tcPr>
            <w:tcW w:w="5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是</w:t>
            </w:r>
          </w:p>
        </w:tc>
        <w:tc>
          <w:tcPr>
            <w:tcW w:w="6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9" w:hRule="atLeast"/>
        </w:trPr>
        <w:tc>
          <w:tcPr>
            <w:tcW w:w="10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开展市容环境整治行动</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场</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7</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7</w:t>
            </w:r>
          </w:p>
        </w:tc>
        <w:tc>
          <w:tcPr>
            <w:tcW w:w="6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133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53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7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5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是</w:t>
            </w:r>
          </w:p>
        </w:tc>
        <w:tc>
          <w:tcPr>
            <w:tcW w:w="6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计生关怀及政策宣传满意度</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95</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95</w:t>
            </w:r>
          </w:p>
        </w:tc>
        <w:tc>
          <w:tcPr>
            <w:tcW w:w="6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133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53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w:t>
            </w:r>
          </w:p>
        </w:tc>
        <w:tc>
          <w:tcPr>
            <w:tcW w:w="7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w:t>
            </w:r>
          </w:p>
        </w:tc>
        <w:tc>
          <w:tcPr>
            <w:tcW w:w="5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否</w:t>
            </w:r>
          </w:p>
        </w:tc>
        <w:tc>
          <w:tcPr>
            <w:tcW w:w="6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bl>
    <w:p>
      <w:pPr>
        <w:pStyle w:val="13"/>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项目支出绩效自评表</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（二级项目）</w:t>
      </w:r>
      <w:r>
        <w:rPr>
          <w:rFonts w:hint="eastAsia" w:ascii="方正仿宋_GBK" w:hAnsi="方正仿宋_GBK" w:eastAsia="方正仿宋_GBK" w:cs="方正仿宋_GBK"/>
          <w:sz w:val="32"/>
          <w:szCs w:val="32"/>
          <w:shd w:val="clear" w:color="auto" w:fill="FFFFFF"/>
          <w:lang w:eastAsia="zh-CN"/>
        </w:rPr>
        <w:t>：</w:t>
      </w:r>
    </w:p>
    <w:tbl>
      <w:tblPr>
        <w:tblStyle w:val="14"/>
        <w:tblW w:w="8366"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8"/>
        <w:gridCol w:w="402"/>
        <w:gridCol w:w="536"/>
        <w:gridCol w:w="165"/>
        <w:gridCol w:w="371"/>
        <w:gridCol w:w="544"/>
        <w:gridCol w:w="978"/>
        <w:gridCol w:w="222"/>
        <w:gridCol w:w="415"/>
        <w:gridCol w:w="515"/>
        <w:gridCol w:w="166"/>
        <w:gridCol w:w="629"/>
        <w:gridCol w:w="270"/>
        <w:gridCol w:w="240"/>
        <w:gridCol w:w="720"/>
        <w:gridCol w:w="135"/>
        <w:gridCol w:w="1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66" w:type="dxa"/>
            <w:gridSpan w:val="18"/>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寰蒋闆呴粦" w:hAnsi="寰蒋闆呴粦" w:eastAsia="寰蒋闆呴粦"/>
                <w:b/>
                <w:color w:val="000000"/>
                <w:sz w:val="40"/>
                <w:szCs w:val="24"/>
              </w:rPr>
            </w:pPr>
            <w:r>
              <w:rPr>
                <w:rFonts w:hint="eastAsia" w:ascii="方正仿宋_GBK" w:hAnsi="方正仿宋_GBK" w:eastAsia="方正仿宋_GBK" w:cs="方正仿宋_GBK"/>
                <w:b w:val="0"/>
                <w:bCs/>
                <w:color w:val="000000"/>
                <w:sz w:val="28"/>
                <w:szCs w:val="28"/>
              </w:rPr>
              <w:t>202</w:t>
            </w:r>
            <w:r>
              <w:rPr>
                <w:rFonts w:hint="eastAsia" w:ascii="方正仿宋_GBK" w:hAnsi="方正仿宋_GBK" w:eastAsia="方正仿宋_GBK" w:cs="方正仿宋_GBK"/>
                <w:b w:val="0"/>
                <w:bCs/>
                <w:color w:val="000000"/>
                <w:sz w:val="28"/>
                <w:szCs w:val="28"/>
                <w:lang w:val="en-US" w:eastAsia="zh-CN"/>
              </w:rPr>
              <w:t>4</w:t>
            </w:r>
            <w:r>
              <w:rPr>
                <w:rFonts w:hint="eastAsia" w:ascii="方正仿宋_GBK" w:hAnsi="方正仿宋_GBK" w:eastAsia="方正仿宋_GBK" w:cs="方正仿宋_GBK"/>
                <w:b w:val="0"/>
                <w:bCs/>
                <w:color w:val="000000"/>
                <w:sz w:val="28"/>
                <w:szCs w:val="28"/>
              </w:rPr>
              <w:t>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366" w:type="dxa"/>
            <w:gridSpan w:val="18"/>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righ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1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项目名称：</w:t>
            </w:r>
          </w:p>
        </w:tc>
        <w:tc>
          <w:tcPr>
            <w:tcW w:w="1103"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养老服务综合体建设</w:t>
            </w:r>
          </w:p>
        </w:tc>
        <w:tc>
          <w:tcPr>
            <w:tcW w:w="91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项目编码：</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50019325T000004729022</w:t>
            </w:r>
          </w:p>
        </w:tc>
        <w:tc>
          <w:tcPr>
            <w:tcW w:w="93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自评总分：</w:t>
            </w:r>
          </w:p>
        </w:tc>
        <w:tc>
          <w:tcPr>
            <w:tcW w:w="79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100.00</w:t>
            </w:r>
          </w:p>
        </w:tc>
        <w:tc>
          <w:tcPr>
            <w:tcW w:w="138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1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项目主管部门：</w:t>
            </w:r>
          </w:p>
        </w:tc>
        <w:tc>
          <w:tcPr>
            <w:tcW w:w="1103"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307-重庆市九龙坡区石板镇人民政府</w:t>
            </w:r>
          </w:p>
        </w:tc>
        <w:tc>
          <w:tcPr>
            <w:tcW w:w="91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财政归口处室：</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003-预算科</w:t>
            </w:r>
          </w:p>
        </w:tc>
        <w:tc>
          <w:tcPr>
            <w:tcW w:w="93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部门联系人：</w:t>
            </w:r>
          </w:p>
        </w:tc>
        <w:tc>
          <w:tcPr>
            <w:tcW w:w="79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戚老师</w:t>
            </w:r>
          </w:p>
        </w:tc>
        <w:tc>
          <w:tcPr>
            <w:tcW w:w="138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联系电话：</w:t>
            </w:r>
          </w:p>
        </w:tc>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65765797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8366" w:type="dxa"/>
            <w:gridSpan w:val="18"/>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24"/>
              </w:rPr>
            </w:pPr>
            <w:r>
              <w:rPr>
                <w:rFonts w:hint="eastAsia" w:ascii="方正仿宋_GBK" w:hAnsi="方正仿宋_GBK" w:eastAsia="方正仿宋_GBK" w:cs="方正仿宋_GBK"/>
                <w:b/>
                <w:bCs w:val="0"/>
                <w:color w:val="000000"/>
                <w:sz w:val="18"/>
                <w:szCs w:val="24"/>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c>
          <w:tcPr>
            <w:tcW w:w="161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年初预算数</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全年（调整）预算数</w:t>
            </w:r>
          </w:p>
        </w:tc>
        <w:tc>
          <w:tcPr>
            <w:tcW w:w="172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全年执行数</w:t>
            </w:r>
          </w:p>
        </w:tc>
        <w:tc>
          <w:tcPr>
            <w:tcW w:w="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执行率</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执行率权重</w:t>
            </w:r>
          </w:p>
        </w:tc>
        <w:tc>
          <w:tcPr>
            <w:tcW w:w="100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5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年度总金额</w:t>
            </w:r>
          </w:p>
        </w:tc>
        <w:tc>
          <w:tcPr>
            <w:tcW w:w="161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eastAsia="zh-CN"/>
              </w:rPr>
            </w:pPr>
            <w:r>
              <w:rPr>
                <w:rFonts w:hint="eastAsia" w:ascii="方正仿宋_GBK" w:hAnsi="方正仿宋_GBK" w:eastAsia="方正仿宋_GBK" w:cs="方正仿宋_GBK"/>
                <w:b/>
                <w:bCs w:val="0"/>
                <w:color w:val="000000"/>
                <w:sz w:val="18"/>
                <w:szCs w:val="24"/>
                <w:lang w:val="en-US" w:eastAsia="zh-CN"/>
              </w:rPr>
              <w:t>0</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13.94</w:t>
            </w:r>
          </w:p>
        </w:tc>
        <w:tc>
          <w:tcPr>
            <w:tcW w:w="172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13.94</w:t>
            </w:r>
          </w:p>
        </w:tc>
        <w:tc>
          <w:tcPr>
            <w:tcW w:w="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c>
          <w:tcPr>
            <w:tcW w:w="100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其中：财政拨款</w:t>
            </w:r>
          </w:p>
        </w:tc>
        <w:tc>
          <w:tcPr>
            <w:tcW w:w="161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eastAsia="zh-CN"/>
              </w:rPr>
            </w:pPr>
            <w:r>
              <w:rPr>
                <w:rFonts w:hint="eastAsia" w:ascii="方正仿宋_GBK" w:hAnsi="方正仿宋_GBK" w:eastAsia="方正仿宋_GBK" w:cs="方正仿宋_GBK"/>
                <w:b/>
                <w:bCs w:val="0"/>
                <w:color w:val="000000"/>
                <w:sz w:val="18"/>
                <w:szCs w:val="24"/>
                <w:lang w:val="en-US" w:eastAsia="zh-CN"/>
              </w:rPr>
              <w:t>0</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13.94</w:t>
            </w:r>
          </w:p>
        </w:tc>
        <w:tc>
          <w:tcPr>
            <w:tcW w:w="172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13.94</w:t>
            </w:r>
          </w:p>
        </w:tc>
        <w:tc>
          <w:tcPr>
            <w:tcW w:w="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10.00</w:t>
            </w:r>
          </w:p>
        </w:tc>
        <w:tc>
          <w:tcPr>
            <w:tcW w:w="100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5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一般公共预算</w:t>
            </w:r>
          </w:p>
        </w:tc>
        <w:tc>
          <w:tcPr>
            <w:tcW w:w="161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eastAsia="zh-CN"/>
              </w:rPr>
            </w:pPr>
            <w:r>
              <w:rPr>
                <w:rFonts w:hint="eastAsia" w:ascii="方正仿宋_GBK" w:hAnsi="方正仿宋_GBK" w:eastAsia="方正仿宋_GBK" w:cs="方正仿宋_GBK"/>
                <w:b/>
                <w:bCs w:val="0"/>
                <w:color w:val="000000"/>
                <w:sz w:val="18"/>
                <w:szCs w:val="24"/>
                <w:lang w:val="en-US" w:eastAsia="zh-CN"/>
              </w:rPr>
              <w:t>0</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13.94</w:t>
            </w:r>
          </w:p>
        </w:tc>
        <w:tc>
          <w:tcPr>
            <w:tcW w:w="1725"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13.94</w:t>
            </w:r>
          </w:p>
        </w:tc>
        <w:tc>
          <w:tcPr>
            <w:tcW w:w="51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c>
          <w:tcPr>
            <w:tcW w:w="100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366" w:type="dxa"/>
            <w:gridSpan w:val="18"/>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24"/>
              </w:rPr>
            </w:pPr>
            <w:r>
              <w:rPr>
                <w:rFonts w:hint="eastAsia" w:ascii="方正仿宋_GBK" w:hAnsi="方正仿宋_GBK" w:eastAsia="方正仿宋_GBK" w:cs="方正仿宋_GBK"/>
                <w:b/>
                <w:bCs w:val="0"/>
                <w:color w:val="000000"/>
                <w:sz w:val="18"/>
                <w:szCs w:val="24"/>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3206"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年初绩效目标</w:t>
            </w:r>
          </w:p>
        </w:tc>
        <w:tc>
          <w:tcPr>
            <w:tcW w:w="2925"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全年（调整）绩效目标</w:t>
            </w:r>
          </w:p>
        </w:tc>
        <w:tc>
          <w:tcPr>
            <w:tcW w:w="2235"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3206"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c>
          <w:tcPr>
            <w:tcW w:w="2925"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养老服务综合体建设</w:t>
            </w:r>
          </w:p>
        </w:tc>
        <w:tc>
          <w:tcPr>
            <w:tcW w:w="2235"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用于社区养老服务站综合建设，提升养老服务站综合环境，提高养老人员生活质量。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366" w:type="dxa"/>
            <w:gridSpan w:val="18"/>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24"/>
              </w:rPr>
            </w:pPr>
            <w:r>
              <w:rPr>
                <w:rFonts w:hint="eastAsia" w:ascii="方正仿宋_GBK" w:hAnsi="方正仿宋_GBK" w:eastAsia="方正仿宋_GBK" w:cs="方正仿宋_GBK"/>
                <w:b/>
                <w:bCs w:val="0"/>
                <w:color w:val="000000"/>
                <w:sz w:val="18"/>
                <w:szCs w:val="24"/>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11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指标名称</w:t>
            </w:r>
          </w:p>
        </w:tc>
        <w:tc>
          <w:tcPr>
            <w:tcW w:w="4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计量单位</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指标性质</w:t>
            </w:r>
          </w:p>
        </w:tc>
        <w:tc>
          <w:tcPr>
            <w:tcW w:w="5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指标值</w:t>
            </w:r>
          </w:p>
        </w:tc>
        <w:tc>
          <w:tcPr>
            <w:tcW w:w="54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全年完成值</w:t>
            </w:r>
          </w:p>
        </w:tc>
        <w:tc>
          <w:tcPr>
            <w:tcW w:w="9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偏离度（%）</w:t>
            </w:r>
          </w:p>
        </w:tc>
        <w:tc>
          <w:tcPr>
            <w:tcW w:w="6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得分系数（%）</w:t>
            </w:r>
          </w:p>
        </w:tc>
        <w:tc>
          <w:tcPr>
            <w:tcW w:w="68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指标权重</w:t>
            </w:r>
          </w:p>
        </w:tc>
        <w:tc>
          <w:tcPr>
            <w:tcW w:w="8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指标得分</w:t>
            </w:r>
          </w:p>
        </w:tc>
        <w:tc>
          <w:tcPr>
            <w:tcW w:w="109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是否核心指标</w:t>
            </w:r>
          </w:p>
        </w:tc>
        <w:tc>
          <w:tcPr>
            <w:tcW w:w="8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1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养老服务保障率</w:t>
            </w:r>
          </w:p>
        </w:tc>
        <w:tc>
          <w:tcPr>
            <w:tcW w:w="4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w:t>
            </w:r>
          </w:p>
        </w:tc>
        <w:tc>
          <w:tcPr>
            <w:tcW w:w="5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80</w:t>
            </w:r>
          </w:p>
        </w:tc>
        <w:tc>
          <w:tcPr>
            <w:tcW w:w="54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80</w:t>
            </w:r>
          </w:p>
        </w:tc>
        <w:tc>
          <w:tcPr>
            <w:tcW w:w="9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0</w:t>
            </w:r>
          </w:p>
        </w:tc>
        <w:tc>
          <w:tcPr>
            <w:tcW w:w="6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w:t>
            </w:r>
          </w:p>
        </w:tc>
        <w:tc>
          <w:tcPr>
            <w:tcW w:w="68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30</w:t>
            </w:r>
          </w:p>
        </w:tc>
        <w:tc>
          <w:tcPr>
            <w:tcW w:w="8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30</w:t>
            </w:r>
          </w:p>
        </w:tc>
        <w:tc>
          <w:tcPr>
            <w:tcW w:w="109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是</w:t>
            </w:r>
          </w:p>
        </w:tc>
        <w:tc>
          <w:tcPr>
            <w:tcW w:w="8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1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养老服务效果</w:t>
            </w:r>
          </w:p>
        </w:tc>
        <w:tc>
          <w:tcPr>
            <w:tcW w:w="4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w:t>
            </w:r>
          </w:p>
        </w:tc>
        <w:tc>
          <w:tcPr>
            <w:tcW w:w="5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80</w:t>
            </w:r>
          </w:p>
        </w:tc>
        <w:tc>
          <w:tcPr>
            <w:tcW w:w="54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80</w:t>
            </w:r>
          </w:p>
        </w:tc>
        <w:tc>
          <w:tcPr>
            <w:tcW w:w="9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0</w:t>
            </w:r>
          </w:p>
        </w:tc>
        <w:tc>
          <w:tcPr>
            <w:tcW w:w="6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w:t>
            </w:r>
          </w:p>
        </w:tc>
        <w:tc>
          <w:tcPr>
            <w:tcW w:w="68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30</w:t>
            </w:r>
          </w:p>
        </w:tc>
        <w:tc>
          <w:tcPr>
            <w:tcW w:w="8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30</w:t>
            </w:r>
          </w:p>
        </w:tc>
        <w:tc>
          <w:tcPr>
            <w:tcW w:w="109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否</w:t>
            </w:r>
          </w:p>
        </w:tc>
        <w:tc>
          <w:tcPr>
            <w:tcW w:w="8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1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老年人覆盖率</w:t>
            </w:r>
          </w:p>
        </w:tc>
        <w:tc>
          <w:tcPr>
            <w:tcW w:w="4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w:t>
            </w:r>
          </w:p>
        </w:tc>
        <w:tc>
          <w:tcPr>
            <w:tcW w:w="5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80</w:t>
            </w:r>
          </w:p>
        </w:tc>
        <w:tc>
          <w:tcPr>
            <w:tcW w:w="54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80</w:t>
            </w:r>
          </w:p>
        </w:tc>
        <w:tc>
          <w:tcPr>
            <w:tcW w:w="9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0</w:t>
            </w:r>
          </w:p>
        </w:tc>
        <w:tc>
          <w:tcPr>
            <w:tcW w:w="6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w:t>
            </w:r>
          </w:p>
        </w:tc>
        <w:tc>
          <w:tcPr>
            <w:tcW w:w="68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20</w:t>
            </w:r>
          </w:p>
        </w:tc>
        <w:tc>
          <w:tcPr>
            <w:tcW w:w="8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20</w:t>
            </w:r>
          </w:p>
        </w:tc>
        <w:tc>
          <w:tcPr>
            <w:tcW w:w="109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否</w:t>
            </w:r>
          </w:p>
        </w:tc>
        <w:tc>
          <w:tcPr>
            <w:tcW w:w="8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1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满意率</w:t>
            </w:r>
          </w:p>
        </w:tc>
        <w:tc>
          <w:tcPr>
            <w:tcW w:w="4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w:t>
            </w:r>
          </w:p>
        </w:tc>
        <w:tc>
          <w:tcPr>
            <w:tcW w:w="53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95</w:t>
            </w:r>
          </w:p>
        </w:tc>
        <w:tc>
          <w:tcPr>
            <w:tcW w:w="54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lang w:val="en-US" w:eastAsia="zh-CN"/>
              </w:rPr>
              <w:t>95</w:t>
            </w:r>
          </w:p>
        </w:tc>
        <w:tc>
          <w:tcPr>
            <w:tcW w:w="9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0</w:t>
            </w:r>
          </w:p>
        </w:tc>
        <w:tc>
          <w:tcPr>
            <w:tcW w:w="6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r>
              <w:rPr>
                <w:rFonts w:hint="eastAsia" w:ascii="方正仿宋_GBK" w:hAnsi="方正仿宋_GBK" w:eastAsia="方正仿宋_GBK" w:cs="方正仿宋_GBK"/>
                <w:b/>
                <w:bCs w:val="0"/>
                <w:color w:val="000000"/>
                <w:sz w:val="18"/>
                <w:szCs w:val="24"/>
              </w:rPr>
              <w:t>100</w:t>
            </w:r>
          </w:p>
        </w:tc>
        <w:tc>
          <w:tcPr>
            <w:tcW w:w="68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10</w:t>
            </w:r>
          </w:p>
        </w:tc>
        <w:tc>
          <w:tcPr>
            <w:tcW w:w="8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10</w:t>
            </w:r>
          </w:p>
        </w:tc>
        <w:tc>
          <w:tcPr>
            <w:tcW w:w="109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lang w:val="en-US" w:eastAsia="zh-CN"/>
              </w:rPr>
            </w:pPr>
            <w:r>
              <w:rPr>
                <w:rFonts w:hint="eastAsia" w:ascii="方正仿宋_GBK" w:hAnsi="方正仿宋_GBK" w:eastAsia="方正仿宋_GBK" w:cs="方正仿宋_GBK"/>
                <w:b/>
                <w:bCs w:val="0"/>
                <w:color w:val="000000"/>
                <w:sz w:val="18"/>
                <w:szCs w:val="24"/>
                <w:lang w:val="en-US" w:eastAsia="zh-CN"/>
              </w:rPr>
              <w:t>否</w:t>
            </w:r>
          </w:p>
        </w:tc>
        <w:tc>
          <w:tcPr>
            <w:tcW w:w="8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24"/>
              </w:rPr>
            </w:pPr>
          </w:p>
        </w:tc>
      </w:tr>
    </w:tbl>
    <w:p>
      <w:pPr>
        <w:pStyle w:val="19"/>
        <w:keepNext w:val="0"/>
        <w:keepLines w:val="0"/>
        <w:pageBreakBefore w:val="0"/>
        <w:widowControl/>
        <w:kinsoku/>
        <w:wordWrap/>
        <w:overflowPunct/>
        <w:topLinePunct w:val="0"/>
        <w:autoSpaceDE/>
        <w:autoSpaceDN/>
        <w:bidi w:val="0"/>
        <w:adjustRightInd/>
        <w:snapToGrid/>
        <w:spacing w:before="0" w:beforeAutospacing="0" w:line="600" w:lineRule="exact"/>
        <w:ind w:firstLine="640" w:firstLineChars="200"/>
        <w:textAlignment w:val="auto"/>
        <w:rPr>
          <w:rFonts w:hint="eastAsia" w:ascii="方正仿宋_GBK" w:hAnsi="宋体" w:eastAsia="方正仿宋_GBK" w:cs="Times New Roman"/>
          <w:sz w:val="32"/>
          <w:szCs w:val="32"/>
          <w:shd w:val="clear" w:color="auto" w:fill="FFFFFF"/>
          <w:lang w:val="en-US" w:eastAsia="zh-CN" w:bidi="ar-SA"/>
        </w:rPr>
      </w:pPr>
      <w:r>
        <w:rPr>
          <w:rFonts w:hint="eastAsia" w:ascii="方正仿宋_GBK" w:hAnsi="宋体" w:eastAsia="方正仿宋_GBK" w:cs="Times New Roman"/>
          <w:sz w:val="32"/>
          <w:szCs w:val="32"/>
          <w:shd w:val="clear" w:color="auto" w:fill="FFFFFF"/>
          <w:lang w:val="en-US" w:eastAsia="zh-CN" w:bidi="ar-SA"/>
        </w:rPr>
        <w:t>项目支出绩效自评表</w:t>
      </w:r>
      <w:r>
        <w:rPr>
          <w:rFonts w:hint="eastAsia" w:ascii="方正仿宋_GBK" w:eastAsia="方正仿宋_GBK" w:cs="Times New Roman"/>
          <w:sz w:val="32"/>
          <w:szCs w:val="32"/>
          <w:shd w:val="clear" w:color="auto" w:fill="FFFFFF"/>
          <w:lang w:val="en-US" w:eastAsia="zh-CN" w:bidi="ar-SA"/>
        </w:rPr>
        <w:t>2</w:t>
      </w:r>
      <w:r>
        <w:rPr>
          <w:rFonts w:hint="eastAsia" w:ascii="方正仿宋_GBK" w:hAnsi="宋体" w:eastAsia="方正仿宋_GBK" w:cs="Times New Roman"/>
          <w:sz w:val="32"/>
          <w:szCs w:val="32"/>
          <w:shd w:val="clear" w:color="auto" w:fill="FFFFFF"/>
          <w:lang w:val="en-US" w:eastAsia="zh-CN" w:bidi="ar-SA"/>
        </w:rPr>
        <w:t>（二级项目）：</w:t>
      </w:r>
    </w:p>
    <w:tbl>
      <w:tblPr>
        <w:tblStyle w:val="14"/>
        <w:tblW w:w="49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
        <w:gridCol w:w="79"/>
        <w:gridCol w:w="506"/>
        <w:gridCol w:w="630"/>
        <w:gridCol w:w="510"/>
        <w:gridCol w:w="705"/>
        <w:gridCol w:w="15"/>
        <w:gridCol w:w="1185"/>
        <w:gridCol w:w="589"/>
        <w:gridCol w:w="667"/>
        <w:gridCol w:w="645"/>
        <w:gridCol w:w="118"/>
        <w:gridCol w:w="411"/>
        <w:gridCol w:w="221"/>
        <w:gridCol w:w="529"/>
        <w:gridCol w:w="116"/>
        <w:gridCol w:w="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000" w:type="pct"/>
            <w:gridSpan w:val="17"/>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28"/>
                <w:szCs w:val="28"/>
              </w:rPr>
              <w:t>202</w:t>
            </w:r>
            <w:r>
              <w:rPr>
                <w:rFonts w:hint="eastAsia" w:ascii="方正仿宋_GBK" w:hAnsi="方正仿宋_GBK" w:eastAsia="方正仿宋_GBK" w:cs="方正仿宋_GBK"/>
                <w:b w:val="0"/>
                <w:bCs/>
                <w:color w:val="000000"/>
                <w:sz w:val="28"/>
                <w:szCs w:val="28"/>
                <w:lang w:val="en-US" w:eastAsia="zh-CN"/>
              </w:rPr>
              <w:t>4</w:t>
            </w:r>
            <w:r>
              <w:rPr>
                <w:rFonts w:hint="eastAsia" w:ascii="方正仿宋_GBK" w:hAnsi="方正仿宋_GBK" w:eastAsia="方正仿宋_GBK" w:cs="方正仿宋_GBK"/>
                <w:b w:val="0"/>
                <w:bCs/>
                <w:color w:val="000000"/>
                <w:sz w:val="28"/>
                <w:szCs w:val="28"/>
              </w:rPr>
              <w:t>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000" w:type="pct"/>
            <w:gridSpan w:val="17"/>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righ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528"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项目名称：</w:t>
            </w:r>
          </w:p>
        </w:tc>
        <w:tc>
          <w:tcPr>
            <w:tcW w:w="1023" w:type="pct"/>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2024年残疾人补贴类</w:t>
            </w:r>
          </w:p>
        </w:tc>
        <w:tc>
          <w:tcPr>
            <w:tcW w:w="427"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项目编码：</w:t>
            </w:r>
          </w:p>
        </w:tc>
        <w:tc>
          <w:tcPr>
            <w:tcW w:w="1053"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50019324T000004186527</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自评总分：</w:t>
            </w:r>
          </w:p>
        </w:tc>
        <w:tc>
          <w:tcPr>
            <w:tcW w:w="696"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100.00</w:t>
            </w:r>
          </w:p>
        </w:tc>
        <w:tc>
          <w:tcPr>
            <w:tcW w:w="445"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c>
          <w:tcPr>
            <w:tcW w:w="428"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528"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项目主管部门：</w:t>
            </w:r>
          </w:p>
        </w:tc>
        <w:tc>
          <w:tcPr>
            <w:tcW w:w="1023" w:type="pct"/>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307-重庆市九龙坡区石板镇人民政府</w:t>
            </w:r>
          </w:p>
        </w:tc>
        <w:tc>
          <w:tcPr>
            <w:tcW w:w="427"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财政归口处室：</w:t>
            </w:r>
          </w:p>
        </w:tc>
        <w:tc>
          <w:tcPr>
            <w:tcW w:w="1053"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003-预算科</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部门联系人：</w:t>
            </w:r>
          </w:p>
        </w:tc>
        <w:tc>
          <w:tcPr>
            <w:tcW w:w="696"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戚老师</w:t>
            </w:r>
          </w:p>
        </w:tc>
        <w:tc>
          <w:tcPr>
            <w:tcW w:w="445"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联系电话：</w:t>
            </w:r>
          </w:p>
        </w:tc>
        <w:tc>
          <w:tcPr>
            <w:tcW w:w="428"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65765797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5000" w:type="pct"/>
            <w:gridSpan w:val="17"/>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808080"/>
                <w:sz w:val="18"/>
                <w:szCs w:val="1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575"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674"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年初预算数</w:t>
            </w:r>
          </w:p>
        </w:tc>
        <w:tc>
          <w:tcPr>
            <w:tcW w:w="721"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全年（调整）预算数</w:t>
            </w:r>
          </w:p>
        </w:tc>
        <w:tc>
          <w:tcPr>
            <w:tcW w:w="1061"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全年执行数</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w:t>
            </w:r>
          </w:p>
        </w:tc>
        <w:tc>
          <w:tcPr>
            <w:tcW w:w="452"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执行率权重</w:t>
            </w:r>
          </w:p>
        </w:tc>
        <w:tc>
          <w:tcPr>
            <w:tcW w:w="1117" w:type="pct"/>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75"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年度总金额</w:t>
            </w:r>
          </w:p>
        </w:tc>
        <w:tc>
          <w:tcPr>
            <w:tcW w:w="674"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lang w:val="en-US" w:eastAsia="zh-CN"/>
              </w:rPr>
              <w:t>0</w:t>
            </w:r>
          </w:p>
        </w:tc>
        <w:tc>
          <w:tcPr>
            <w:tcW w:w="721"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0.76</w:t>
            </w:r>
          </w:p>
        </w:tc>
        <w:tc>
          <w:tcPr>
            <w:tcW w:w="17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0.76</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452"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1117" w:type="pct"/>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75"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其中：财政拨款</w:t>
            </w:r>
          </w:p>
        </w:tc>
        <w:tc>
          <w:tcPr>
            <w:tcW w:w="674"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lang w:val="en-US" w:eastAsia="zh-CN"/>
              </w:rPr>
              <w:t>0</w:t>
            </w:r>
          </w:p>
        </w:tc>
        <w:tc>
          <w:tcPr>
            <w:tcW w:w="721"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0.76</w:t>
            </w:r>
          </w:p>
        </w:tc>
        <w:tc>
          <w:tcPr>
            <w:tcW w:w="17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0.76</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w:t>
            </w:r>
          </w:p>
        </w:tc>
        <w:tc>
          <w:tcPr>
            <w:tcW w:w="452"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w:t>
            </w:r>
          </w:p>
        </w:tc>
        <w:tc>
          <w:tcPr>
            <w:tcW w:w="1117" w:type="pct"/>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75"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一般公共预算</w:t>
            </w:r>
          </w:p>
        </w:tc>
        <w:tc>
          <w:tcPr>
            <w:tcW w:w="674"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lang w:val="en-US" w:eastAsia="zh-CN"/>
              </w:rPr>
              <w:t>0</w:t>
            </w:r>
          </w:p>
        </w:tc>
        <w:tc>
          <w:tcPr>
            <w:tcW w:w="721"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0.76</w:t>
            </w:r>
          </w:p>
        </w:tc>
        <w:tc>
          <w:tcPr>
            <w:tcW w:w="17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0.76</w:t>
            </w:r>
          </w:p>
        </w:tc>
        <w:tc>
          <w:tcPr>
            <w:tcW w:w="395"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w:t>
            </w:r>
          </w:p>
        </w:tc>
        <w:tc>
          <w:tcPr>
            <w:tcW w:w="452"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1117" w:type="pct"/>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000" w:type="pct"/>
            <w:gridSpan w:val="17"/>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808080"/>
                <w:sz w:val="18"/>
                <w:szCs w:val="1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250" w:type="pct"/>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年初绩效目标</w:t>
            </w:r>
          </w:p>
        </w:tc>
        <w:tc>
          <w:tcPr>
            <w:tcW w:w="1783" w:type="pct"/>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全年（调整）绩效目标</w:t>
            </w:r>
          </w:p>
        </w:tc>
        <w:tc>
          <w:tcPr>
            <w:tcW w:w="1966" w:type="pct"/>
            <w:gridSpan w:val="8"/>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250" w:type="pct"/>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发放残疾人各项补贴</w:t>
            </w:r>
          </w:p>
        </w:tc>
        <w:tc>
          <w:tcPr>
            <w:tcW w:w="1783" w:type="pct"/>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发放残疾人各项补贴</w:t>
            </w:r>
          </w:p>
        </w:tc>
        <w:tc>
          <w:tcPr>
            <w:tcW w:w="1966" w:type="pct"/>
            <w:gridSpan w:val="8"/>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按时发放残疾人各项补贴，满意度95%。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000" w:type="pct"/>
            <w:gridSpan w:val="17"/>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808080"/>
                <w:sz w:val="18"/>
                <w:szCs w:val="1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528"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指标名称</w:t>
            </w:r>
          </w:p>
        </w:tc>
        <w:tc>
          <w:tcPr>
            <w:tcW w:w="347"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计量单位</w:t>
            </w:r>
          </w:p>
        </w:tc>
        <w:tc>
          <w:tcPr>
            <w:tcW w:w="373"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指标性质</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指标值</w:t>
            </w:r>
          </w:p>
        </w:tc>
        <w:tc>
          <w:tcPr>
            <w:tcW w:w="418"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全年完成值</w:t>
            </w:r>
          </w:p>
        </w:tc>
        <w:tc>
          <w:tcPr>
            <w:tcW w:w="712"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偏离度（%）</w:t>
            </w:r>
          </w:p>
        </w:tc>
        <w:tc>
          <w:tcPr>
            <w:tcW w:w="349"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得分系数（%）</w:t>
            </w:r>
          </w:p>
        </w:tc>
        <w:tc>
          <w:tcPr>
            <w:tcW w:w="778"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指标权重</w:t>
            </w:r>
          </w:p>
        </w:tc>
        <w:tc>
          <w:tcPr>
            <w:tcW w:w="445"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指标得分</w:t>
            </w:r>
          </w:p>
        </w:tc>
        <w:tc>
          <w:tcPr>
            <w:tcW w:w="382"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是否核心指标</w:t>
            </w:r>
          </w:p>
        </w:tc>
        <w:tc>
          <w:tcPr>
            <w:tcW w:w="359"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8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完成率</w:t>
            </w:r>
          </w:p>
        </w:tc>
        <w:tc>
          <w:tcPr>
            <w:tcW w:w="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5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5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131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30</w:t>
            </w:r>
          </w:p>
        </w:tc>
        <w:tc>
          <w:tcPr>
            <w:tcW w:w="7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30</w:t>
            </w:r>
          </w:p>
        </w:tc>
        <w:tc>
          <w:tcPr>
            <w:tcW w:w="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是</w:t>
            </w:r>
          </w:p>
        </w:tc>
        <w:tc>
          <w:tcPr>
            <w:tcW w:w="359"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完成时间</w:t>
            </w:r>
          </w:p>
        </w:tc>
        <w:tc>
          <w:tcPr>
            <w:tcW w:w="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月</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5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12</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12</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5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131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30</w:t>
            </w:r>
          </w:p>
        </w:tc>
        <w:tc>
          <w:tcPr>
            <w:tcW w:w="7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30</w:t>
            </w:r>
          </w:p>
        </w:tc>
        <w:tc>
          <w:tcPr>
            <w:tcW w:w="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359"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社会效果</w:t>
            </w:r>
          </w:p>
        </w:tc>
        <w:tc>
          <w:tcPr>
            <w:tcW w:w="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5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95</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95</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5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131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20</w:t>
            </w:r>
          </w:p>
        </w:tc>
        <w:tc>
          <w:tcPr>
            <w:tcW w:w="7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20</w:t>
            </w:r>
          </w:p>
        </w:tc>
        <w:tc>
          <w:tcPr>
            <w:tcW w:w="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359"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8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满意率</w:t>
            </w:r>
          </w:p>
        </w:tc>
        <w:tc>
          <w:tcPr>
            <w:tcW w:w="58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5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95</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95</w:t>
            </w:r>
          </w:p>
        </w:tc>
        <w:tc>
          <w:tcPr>
            <w:tcW w:w="12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5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131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7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359" w:type="pc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p>
        </w:tc>
      </w:tr>
    </w:tbl>
    <w:p>
      <w:pPr>
        <w:pStyle w:val="19"/>
        <w:keepNext w:val="0"/>
        <w:keepLines w:val="0"/>
        <w:pageBreakBefore w:val="0"/>
        <w:kinsoku/>
        <w:wordWrap/>
        <w:overflowPunct/>
        <w:topLinePunct w:val="0"/>
        <w:autoSpaceDE w:val="0"/>
        <w:autoSpaceDN/>
        <w:bidi w:val="0"/>
        <w:adjustRightInd/>
        <w:spacing w:before="0" w:beforeAutospacing="0" w:after="0" w:afterAutospacing="0" w:line="600" w:lineRule="exact"/>
        <w:ind w:firstLine="640" w:firstLineChars="200"/>
        <w:jc w:val="left"/>
        <w:textAlignment w:val="auto"/>
        <w:rPr>
          <w:rFonts w:hint="eastAsia" w:ascii="楷体" w:hAnsi="楷体" w:eastAsia="楷体" w:cs="楷体"/>
          <w:b/>
          <w:bCs/>
          <w:sz w:val="32"/>
          <w:szCs w:val="32"/>
          <w:shd w:val="clear" w:color="auto" w:fill="FFFFFF"/>
        </w:rPr>
      </w:pPr>
      <w:r>
        <w:rPr>
          <w:rFonts w:hint="eastAsia" w:ascii="方正楷体_GBK" w:hAnsi="方正楷体_GBK" w:eastAsia="方正楷体_GBK" w:cs="方正楷体_GBK"/>
          <w:kern w:val="0"/>
          <w:sz w:val="32"/>
          <w:szCs w:val="32"/>
          <w:lang w:val="zh-CN" w:eastAsia="zh-CN" w:bidi="ar-SA"/>
        </w:rPr>
        <w:t>（二）部门绩效评价情况</w:t>
      </w:r>
    </w:p>
    <w:p>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eastAsia" w:ascii="方正仿宋_GBK" w:hAnsi="宋体" w:eastAsia="方正仿宋_GBK" w:cs="Times New Roman"/>
          <w:color w:val="000000"/>
          <w:sz w:val="32"/>
          <w:szCs w:val="32"/>
          <w:lang w:val="en-US" w:eastAsia="zh-CN" w:bidi="ar-SA"/>
        </w:rPr>
      </w:pPr>
      <w:r>
        <w:rPr>
          <w:rFonts w:hint="eastAsia" w:ascii="方正仿宋_GBK" w:hAnsi="宋体" w:eastAsia="方正仿宋_GBK" w:cs="Times New Roman"/>
          <w:color w:val="000000"/>
          <w:sz w:val="32"/>
          <w:szCs w:val="32"/>
          <w:lang w:val="en-US" w:eastAsia="zh-CN" w:bidi="ar-SA"/>
        </w:rPr>
        <w:t>我部门未组织开展绩效评价。</w:t>
      </w:r>
    </w:p>
    <w:p>
      <w:pPr>
        <w:pStyle w:val="23"/>
        <w:keepNext w:val="0"/>
        <w:keepLines w:val="0"/>
        <w:pageBreakBefore w:val="0"/>
        <w:widowControl/>
        <w:kinsoku/>
        <w:wordWrap/>
        <w:overflowPunct/>
        <w:topLinePunct w:val="0"/>
        <w:autoSpaceDE w:val="0"/>
        <w:autoSpaceDN/>
        <w:bidi w:val="0"/>
        <w:adjustRightInd/>
        <w:spacing w:line="600" w:lineRule="exact"/>
        <w:ind w:firstLine="643"/>
        <w:jc w:val="left"/>
        <w:textAlignment w:val="auto"/>
        <w:rPr>
          <w:rFonts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kern w:val="0"/>
          <w:sz w:val="32"/>
          <w:szCs w:val="32"/>
          <w:lang w:val="zh-CN" w:eastAsia="zh-CN" w:bidi="ar-SA"/>
        </w:rPr>
        <w:t>（三）财政绩效评价情况</w:t>
      </w:r>
    </w:p>
    <w:p>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方正仿宋_GBK" w:hAnsi="宋体" w:eastAsia="方正仿宋_GBK" w:cs="Times New Roman"/>
          <w:color w:val="000000"/>
          <w:sz w:val="32"/>
          <w:szCs w:val="32"/>
          <w:lang w:val="en-US" w:eastAsia="zh-CN" w:bidi="ar-SA"/>
        </w:rPr>
      </w:pPr>
      <w:r>
        <w:rPr>
          <w:rFonts w:hint="eastAsia" w:ascii="方正仿宋_GBK" w:hAnsi="宋体" w:eastAsia="方正仿宋_GBK" w:cs="Times New Roman"/>
          <w:color w:val="000000"/>
          <w:sz w:val="32"/>
          <w:szCs w:val="32"/>
          <w:lang w:val="en-US" w:eastAsia="zh-CN" w:bidi="ar-SA"/>
        </w:rPr>
        <w:t>重庆高新区财政局委托第三方对我部门整体和72个二级项目开展了2024年度部门整体支出绩效评价，涉及财政拨款项目资金2782.79万元，评价得分82分，评价等次为良，绩效评价发现了财务管理不规范及内部管理有待提高等</w:t>
      </w:r>
      <w:r>
        <w:rPr>
          <w:rFonts w:hint="eastAsia" w:ascii="方正仿宋_GBK" w:eastAsia="方正仿宋_GBK" w:cs="Times New Roman"/>
          <w:color w:val="000000"/>
          <w:sz w:val="32"/>
          <w:szCs w:val="32"/>
          <w:lang w:val="en-US" w:eastAsia="zh-CN" w:bidi="ar-SA"/>
        </w:rPr>
        <w:t>主</w:t>
      </w:r>
      <w:r>
        <w:rPr>
          <w:rFonts w:hint="eastAsia" w:ascii="方正仿宋_GBK" w:hAnsi="宋体" w:eastAsia="方正仿宋_GBK" w:cs="Times New Roman"/>
          <w:color w:val="000000"/>
          <w:sz w:val="32"/>
          <w:szCs w:val="32"/>
          <w:lang w:val="en-US" w:eastAsia="zh-CN" w:bidi="ar-SA"/>
        </w:rPr>
        <w:t>要问题，提出了严格按照制度执行资产管理方面及重视绩效目标管理工作等建议。</w:t>
      </w:r>
    </w:p>
    <w:p>
      <w:pPr>
        <w:pStyle w:val="19"/>
        <w:keepNext w:val="0"/>
        <w:keepLines w:val="0"/>
        <w:pageBreakBefore w:val="0"/>
        <w:kinsoku/>
        <w:wordWrap/>
        <w:overflowPunct/>
        <w:topLinePunct w:val="0"/>
        <w:autoSpaceDE w:val="0"/>
        <w:bidi w:val="0"/>
        <w:spacing w:before="0" w:beforeAutospacing="0" w:after="0" w:afterAutospacing="0" w:line="600" w:lineRule="exact"/>
        <w:jc w:val="left"/>
        <w:textAlignment w:val="auto"/>
        <w:rPr>
          <w:rFonts w:hint="eastAsia" w:ascii="方正黑体_GBK" w:hAnsi="方正黑体_GBK" w:eastAsia="方正黑体_GBK" w:cs="方正黑体_GBK"/>
          <w:b w:val="0"/>
          <w:bCs w:val="0"/>
          <w:kern w:val="2"/>
          <w:sz w:val="32"/>
          <w:szCs w:val="32"/>
          <w:lang w:val="zh-CN" w:eastAsia="zh-CN" w:bidi="ar-SA"/>
        </w:rPr>
      </w:pPr>
      <w:r>
        <w:rPr>
          <w:rStyle w:val="20"/>
          <w:rFonts w:hint="eastAsia" w:ascii="方正仿宋_GBK" w:hAnsi="方正仿宋_GBK" w:eastAsia="方正仿宋_GBK" w:cs="方正仿宋_GBK"/>
          <w:sz w:val="32"/>
          <w:szCs w:val="32"/>
          <w:shd w:val="clear" w:color="auto" w:fill="FFFFFF"/>
        </w:rPr>
        <w:t xml:space="preserve">   </w:t>
      </w:r>
      <w:r>
        <w:rPr>
          <w:rFonts w:hint="eastAsia" w:ascii="方正黑体_GBK" w:hAnsi="方正黑体_GBK" w:eastAsia="方正黑体_GBK" w:cs="方正黑体_GBK"/>
          <w:b w:val="0"/>
          <w:bCs w:val="0"/>
          <w:kern w:val="2"/>
          <w:sz w:val="32"/>
          <w:szCs w:val="32"/>
          <w:lang w:val="zh-CN" w:eastAsia="zh-CN" w:bidi="ar-SA"/>
        </w:rPr>
        <w:t xml:space="preserve"> 六、专业名词解释</w:t>
      </w:r>
    </w:p>
    <w:p>
      <w:pPr>
        <w:pStyle w:val="19"/>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9"/>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9"/>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9"/>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9"/>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9"/>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9"/>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9"/>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9"/>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9"/>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9"/>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9"/>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9"/>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9"/>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9"/>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9"/>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9"/>
        <w:keepNext w:val="0"/>
        <w:keepLines w:val="0"/>
        <w:pageBreakBefore w:val="0"/>
        <w:kinsoku/>
        <w:wordWrap/>
        <w:overflowPunct/>
        <w:topLinePunct w:val="0"/>
        <w:bidi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七、决算公开联系方式及信息反馈渠道</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Style w:val="17"/>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napToGrid w:val="0"/>
          <w:color w:val="000000" w:themeColor="text1"/>
          <w:sz w:val="32"/>
          <w:szCs w:val="20"/>
          <w:lang w:val="zh-CN" w:eastAsia="zh-CN"/>
          <w14:textFill>
            <w14:solidFill>
              <w14:schemeClr w14:val="tx1"/>
            </w14:solidFill>
          </w14:textFill>
        </w:rPr>
        <w:t>本单位决算公开信息反馈和联系方式：</w:t>
      </w:r>
      <w:r>
        <w:rPr>
          <w:rFonts w:hint="eastAsia" w:ascii="方正仿宋_GBK" w:hAnsi="方正仿宋_GBK" w:eastAsia="方正仿宋_GBK" w:cs="方正仿宋_GBK"/>
          <w:snapToGrid w:val="0"/>
          <w:color w:val="000000" w:themeColor="text1"/>
          <w:sz w:val="32"/>
          <w:szCs w:val="20"/>
          <w:lang w:val="en-US" w:eastAsia="zh-CN"/>
          <w14:textFill>
            <w14:solidFill>
              <w14:schemeClr w14:val="tx1"/>
            </w14:solidFill>
          </w14:textFill>
        </w:rPr>
        <w:t>023-65765797</w:t>
      </w:r>
      <w:r>
        <w:rPr>
          <w:rFonts w:hint="eastAsia" w:ascii="方正仿宋_GBK" w:hAnsi="方正仿宋_GBK" w:eastAsia="方正仿宋_GBK" w:cs="方正仿宋_GBK"/>
          <w:snapToGrid w:val="0"/>
          <w:color w:val="000000" w:themeColor="text1"/>
          <w:sz w:val="32"/>
          <w:szCs w:val="20"/>
          <w:lang w:val="zh-CN" w:eastAsia="zh-CN"/>
          <w14:textFill>
            <w14:solidFill>
              <w14:schemeClr w14:val="tx1"/>
            </w14:solidFill>
          </w14:textFill>
        </w:rPr>
        <w:t>。</w:t>
      </w:r>
    </w:p>
    <w:tbl>
      <w:tblPr>
        <w:tblStyle w:val="14"/>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重庆市九龙坡区石板镇人民政府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4,786.27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857.74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285.38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4,845.95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4,845.95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4,845.95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4,845.95</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4"/>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sz w:val="20"/>
                <w:u w:color="auto"/>
              </w:rPr>
              <w:t>重庆市九龙坡区石板镇人民政府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4,845.95</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4,845.95</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其他人大事务支出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1,647.21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1,647.21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财政事务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其他财政事务支出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群众团体事务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2012999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其他群众团体事务支出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宣传事务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其他宣传事务支出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国防动员</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2030607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民兵</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2060199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其他科学技术管理事务支出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1,271.06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1,271.06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其他民政管理事务支出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232.02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232.02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就业创业服务补贴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其他就业补助支出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义务兵优待</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老年福利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残疾人生活和护理补贴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最低生活保障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268.86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268.86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其他农村生活救助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拥军优属</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161.45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161.45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2100717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计划生育服务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161.45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161.45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优抚对象医疗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优抚对象医疗补助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小城镇基础设施建设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285.38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285.38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其他水利支出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自然资源利用与保护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其他自然资源事务支出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保障性租赁住房</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用于社会福利的彩票公益金支出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4"/>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重庆市九龙坡区石板镇人民政府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4,845.95</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2,063.17</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2,782.79</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1,279.88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528.29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其他人大事务支出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1,647.21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1,279.88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367.32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331.94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财政事务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其他财政事务支出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群众团体事务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2012999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其他群众团体事务支出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宣传事务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其他宣传事务支出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国防动员</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2030607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民兵</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2060199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其他科学技术管理事务支出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1,271.06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420.22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其他民政管理事务支出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232.02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232.02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就业创业服务补贴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其他就业补助支出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义务兵优待</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老年福利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残疾人生活和护理补贴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最低生活保障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268.86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268.86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268.86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其他农村生活救助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拥军优属</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161.45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161.45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2100717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计划生育服务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161.45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161.45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优抚对象医疗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优抚对象医疗补助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857.74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491.58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491.58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小城镇基础设施建设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343.70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285.38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131.50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其他水利支出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自然资源利用与保护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其他自然资源事务支出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保障性租赁住房</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用于社会福利的彩票公益金支出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4"/>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重庆市九龙坡区石板镇人民政府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4,786.27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1,808.17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1,808.17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857.74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4,845.95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4,845.95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4,786.27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59.69</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4,845.95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4,845.95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4,786.27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59.69</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4"/>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重庆市九龙坡区石板镇人民政府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4,786.27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2,063.17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2,723.10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1,808.17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1,279.88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528.29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1,647.21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1,279.88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367.32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财政事务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其他财政事务支出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群众团体事务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其他群众团体事务支出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宣传事务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其他宣传事务支出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国防动员</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2030607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民兵</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2060199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其他科学技术管理事务支出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1,271.06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850.84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其他民政管理事务支出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76.23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就业创业服务补贴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其他就业补助支出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义务兵优待</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最低生活保障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268.86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171.63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161.45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2100717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计划生育服务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856.71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491.58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343.70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153.89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保障性租赁住房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cs="宋体"/>
          <w:sz w:val="21"/>
          <w:szCs w:val="21"/>
        </w:rPr>
      </w:pPr>
      <w:r>
        <w:rPr>
          <w:rFonts w:cs="宋体"/>
          <w:sz w:val="21"/>
          <w:szCs w:val="21"/>
        </w:rPr>
        <w:br w:type="page"/>
      </w:r>
    </w:p>
    <w:tbl>
      <w:tblPr>
        <w:tblStyle w:val="14"/>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重庆市九龙坡区石板镇人民政府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1,708.90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1,785.13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278.04</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4"/>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重庆市九龙坡区石板镇人民政府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59.69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59.69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59.69</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2296002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20.13</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4"/>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重庆市九龙坡区石板镇人民政府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hint="default" w:cs="宋体"/>
          <w:sz w:val="21"/>
          <w:szCs w:val="21"/>
        </w:rPr>
        <w:br w:type="page"/>
      </w:r>
    </w:p>
    <w:tbl>
      <w:tblPr>
        <w:tblStyle w:val="14"/>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重庆市九龙坡区石板镇人民政府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197.54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12.51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12.51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197.54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12.51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12.51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12.51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12.51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sz w:val="16"/>
                <w:szCs w:val="16"/>
              </w:rPr>
            </w:pPr>
          </w:p>
        </w:tc>
      </w:tr>
    </w:tbl>
    <w:p>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寰蒋闆呴粦">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0iRrsMgIAAGM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weZaFjd5aHqGjPN4uDwFyJpWjKJ0S6E48YPZSny57Eof7z3OKevpv&#10;WD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DSJGuwyAgAAYwQAAA4AAAAAAAAAAQAgAAAA&#10;NQEAAGRycy9lMm9Eb2MueG1sUEsFBgAAAAAGAAYAWQEAANk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9"/>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9"/>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7FBC4A"/>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DE9F326"/>
    <w:rsid w:val="2EBF7B3E"/>
    <w:rsid w:val="2EDE1934"/>
    <w:rsid w:val="2FCA4B37"/>
    <w:rsid w:val="2FE029D7"/>
    <w:rsid w:val="2FF06E00"/>
    <w:rsid w:val="2FFF161D"/>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B9DE61"/>
    <w:rsid w:val="3EEC37F3"/>
    <w:rsid w:val="3F032E93"/>
    <w:rsid w:val="3F0527E5"/>
    <w:rsid w:val="3F4814B0"/>
    <w:rsid w:val="3F5E5D98"/>
    <w:rsid w:val="3F694D83"/>
    <w:rsid w:val="3F885DCC"/>
    <w:rsid w:val="3FCD675E"/>
    <w:rsid w:val="3FD86860"/>
    <w:rsid w:val="3FFC078A"/>
    <w:rsid w:val="3FFD13B8"/>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DF2728"/>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DBDD50A"/>
    <w:rsid w:val="5DF9E16B"/>
    <w:rsid w:val="5F2D4A41"/>
    <w:rsid w:val="5FF41BD2"/>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EFEE21E"/>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6FD750F"/>
    <w:rsid w:val="76FFCBD8"/>
    <w:rsid w:val="772E1EBA"/>
    <w:rsid w:val="77303AE2"/>
    <w:rsid w:val="77BB09EC"/>
    <w:rsid w:val="77EB79F7"/>
    <w:rsid w:val="796D60A4"/>
    <w:rsid w:val="79A031D5"/>
    <w:rsid w:val="7A1525F7"/>
    <w:rsid w:val="7AED7E63"/>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 w:val="C6DE5FA9"/>
    <w:rsid w:val="CDE4DF6E"/>
    <w:rsid w:val="D9F4109F"/>
    <w:rsid w:val="D9FC6610"/>
    <w:rsid w:val="DFB64D78"/>
    <w:rsid w:val="EFCF8DE1"/>
    <w:rsid w:val="F7ED3CE9"/>
    <w:rsid w:val="FC7FDEDC"/>
    <w:rsid w:val="FD33AD30"/>
    <w:rsid w:val="FEF69B09"/>
    <w:rsid w:val="FFF3078A"/>
    <w:rsid w:val="FFFB3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2"/>
    <w:basedOn w:val="1"/>
    <w:next w:val="3"/>
    <w:qFormat/>
    <w:uiPriority w:val="0"/>
    <w:pPr>
      <w:keepNext/>
      <w:keepLines/>
      <w:spacing w:before="720" w:after="520"/>
      <w:outlineLvl w:val="1"/>
    </w:pPr>
    <w:rPr>
      <w:rFonts w:ascii="Arial" w:hAnsi="Arial" w:eastAsia="黑体"/>
      <w:sz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460" w:lineRule="atLeast"/>
      <w:ind w:firstLine="567"/>
    </w:pPr>
  </w:style>
  <w:style w:type="paragraph" w:styleId="5">
    <w:name w:val="Body Text"/>
    <w:basedOn w:val="1"/>
    <w:unhideWhenUsed/>
    <w:qFormat/>
    <w:uiPriority w:val="0"/>
    <w:pPr>
      <w:spacing w:after="120"/>
    </w:pPr>
  </w:style>
  <w:style w:type="paragraph" w:styleId="6">
    <w:name w:val="Body Text Indent"/>
    <w:basedOn w:val="1"/>
    <w:next w:val="7"/>
    <w:unhideWhenUsed/>
    <w:qFormat/>
    <w:uiPriority w:val="99"/>
    <w:pPr>
      <w:spacing w:after="120"/>
      <w:ind w:left="420" w:leftChars="200"/>
    </w:pPr>
    <w:rPr>
      <w:rFonts w:cs="宋体"/>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tabs>
        <w:tab w:val="center" w:pos="4153"/>
        <w:tab w:val="right" w:pos="8306"/>
      </w:tabs>
      <w:snapToGrid w:val="0"/>
      <w:jc w:val="center"/>
    </w:pPr>
    <w:rPr>
      <w:sz w:val="18"/>
      <w:szCs w:val="18"/>
    </w:rPr>
  </w:style>
  <w:style w:type="paragraph" w:styleId="11">
    <w:name w:val="footnote text"/>
    <w:basedOn w:val="1"/>
    <w:next w:val="7"/>
    <w:semiHidden/>
    <w:qFormat/>
    <w:uiPriority w:val="0"/>
    <w:pPr>
      <w:snapToGrid w:val="0"/>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3">
    <w:name w:val="Normal (Web)"/>
    <w:basedOn w:val="1"/>
    <w:unhideWhenUsed/>
    <w:qFormat/>
    <w:uiPriority w:val="0"/>
    <w:pPr>
      <w:spacing w:before="100" w:beforeAutospacing="1" w:after="100" w:afterAutospacing="1"/>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paragraph" w:customStyle="1" w:styleId="18">
    <w:name w:val="列出段落1"/>
    <w:basedOn w:val="1"/>
    <w:qFormat/>
    <w:uiPriority w:val="99"/>
    <w:pPr>
      <w:ind w:firstLine="420" w:firstLineChars="200"/>
    </w:pPr>
    <w:rPr>
      <w:rFonts w:hint="default"/>
    </w:rPr>
  </w:style>
  <w:style w:type="paragraph" w:customStyle="1" w:styleId="1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20">
    <w:name w:val="21"/>
    <w:qFormat/>
    <w:uiPriority w:val="0"/>
    <w:rPr>
      <w:rFonts w:hint="default" w:ascii="Wingdings" w:hAnsi="Wingdings" w:cs="Wingdings"/>
      <w:b/>
      <w:bCs/>
    </w:rPr>
  </w:style>
  <w:style w:type="paragraph" w:customStyle="1" w:styleId="21">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2">
    <w:name w:val="批注框文本 字符"/>
    <w:basedOn w:val="16"/>
    <w:link w:val="8"/>
    <w:qFormat/>
    <w:uiPriority w:val="0"/>
    <w:rPr>
      <w:rFonts w:ascii="宋体" w:hAnsi="宋体"/>
      <w:sz w:val="18"/>
      <w:szCs w:val="18"/>
    </w:rPr>
  </w:style>
  <w:style w:type="paragraph" w:customStyle="1" w:styleId="23">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4051</Words>
  <Characters>23092</Characters>
  <Lines>192</Lines>
  <Paragraphs>54</Paragraphs>
  <TotalTime>52</TotalTime>
  <ScaleCrop>false</ScaleCrop>
  <LinksUpToDate>false</LinksUpToDate>
  <CharactersWithSpaces>27089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2025-06-27T15:40:00Z</dcterms:created>
  <dc:creator>Administrator</dc:creator>
  <cp:lastModifiedBy>sbz</cp:lastModifiedBy>
  <dcterms:modified xsi:type="dcterms:W3CDTF">2025-10-17T18:30:28Z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B4C49D72FB24434BA9B48518AE2530C8</vt:lpwstr>
  </property>
</Properties>
</file>