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bookmarkStart w:id="0" w:name="_GoBack"/>
      <w:r>
        <w:rPr>
          <w:rFonts w:ascii="Times New Roman" w:eastAsia="方正小标宋_GBK" w:cs="Times New Roman"/>
          <w:color w:val="000000" w:themeColor="text1"/>
          <w:sz w:val="44"/>
          <w:szCs w:val="44"/>
          <w14:textFill>
            <w14:solidFill>
              <w14:schemeClr w14:val="tx1"/>
            </w14:solidFill>
          </w14:textFill>
        </w:rPr>
        <w:t>虎溪街道综合行政执法大队</w:t>
      </w:r>
      <w:r>
        <w:rPr>
          <w:rFonts w:ascii="Times New Roman" w:hAnsi="Times New Roman" w:eastAsia="方正小标宋_GBK" w:cs="Times New Roman"/>
          <w:color w:val="000000" w:themeColor="text1"/>
          <w:sz w:val="44"/>
          <w:szCs w:val="44"/>
          <w14:textFill>
            <w14:solidFill>
              <w14:schemeClr w14:val="tx1"/>
            </w14:solidFill>
          </w14:textFill>
        </w:rPr>
        <w:t>2024</w:t>
      </w:r>
      <w:r>
        <w:rPr>
          <w:rFonts w:ascii="Times New Roman" w:eastAsia="方正小标宋_GBK" w:cs="Times New Roman"/>
          <w:color w:val="000000" w:themeColor="text1"/>
          <w:sz w:val="44"/>
          <w:szCs w:val="44"/>
          <w14:textFill>
            <w14:solidFill>
              <w14:schemeClr w14:val="tx1"/>
            </w14:solidFill>
          </w14:textFill>
        </w:rPr>
        <w:t>年单位预算情况说明</w:t>
      </w:r>
    </w:p>
    <w:p>
      <w:pPr>
        <w:spacing w:line="600" w:lineRule="exact"/>
        <w:ind w:firstLine="880" w:firstLineChars="200"/>
        <w:jc w:val="center"/>
        <w:rPr>
          <w:rFonts w:ascii="Times New Roman" w:hAnsi="Times New Roman" w:eastAsia="华文中宋" w:cs="Times New Roman"/>
          <w:color w:val="000000" w:themeColor="text1"/>
          <w:sz w:val="44"/>
          <w:szCs w:val="44"/>
          <w14:textFill>
            <w14:solidFill>
              <w14:schemeClr w14:val="tx1"/>
            </w14:solidFill>
          </w14:textFill>
        </w:rPr>
      </w:pPr>
    </w:p>
    <w:p>
      <w:pPr>
        <w:spacing w:line="600" w:lineRule="exact"/>
        <w:ind w:firstLine="640" w:firstLineChars="200"/>
        <w:rPr>
          <w:rFonts w:ascii="Times New Roman" w:hAnsi="Times New Roman" w:eastAsia="方正黑体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一、单位基本情况</w:t>
      </w:r>
    </w:p>
    <w:p>
      <w:pPr>
        <w:spacing w:line="600" w:lineRule="exact"/>
        <w:ind w:firstLine="642" w:firstLineChars="200"/>
        <w:rPr>
          <w:rFonts w:ascii="Times New Roman" w:hAnsi="Times New Roman" w:eastAsia="方正楷体_GBK" w:cs="Times New Roman"/>
          <w:b/>
          <w:color w:val="000000" w:themeColor="text1"/>
          <w:sz w:val="32"/>
          <w:szCs w:val="20"/>
          <w14:textFill>
            <w14:solidFill>
              <w14:schemeClr w14:val="tx1"/>
            </w14:solidFill>
          </w14:textFill>
        </w:rPr>
      </w:pPr>
      <w:r>
        <w:rPr>
          <w:rFonts w:ascii="Times New Roman" w:eastAsia="方正楷体_GBK" w:cs="Times New Roman"/>
          <w:b/>
          <w:color w:val="000000" w:themeColor="text1"/>
          <w:sz w:val="32"/>
          <w:szCs w:val="20"/>
          <w14:textFill>
            <w14:solidFill>
              <w14:schemeClr w14:val="tx1"/>
            </w14:solidFill>
          </w14:textFill>
        </w:rPr>
        <w:t>（一）职能职责</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eastAsia="方正仿宋_GBK" w:cs="Times New Roman"/>
          <w:color w:val="000000" w:themeColor="text1"/>
          <w:sz w:val="32"/>
          <w:szCs w:val="20"/>
          <w14:textFill>
            <w14:solidFill>
              <w14:schemeClr w14:val="tx1"/>
            </w14:solidFill>
          </w14:textFill>
        </w:rPr>
        <w:t>与综合行政执法办公室统筹运行，主要承担综合行政执法基础性、事务性工作。</w:t>
      </w:r>
    </w:p>
    <w:p>
      <w:pPr>
        <w:spacing w:line="600" w:lineRule="exact"/>
        <w:ind w:firstLine="642" w:firstLineChars="200"/>
        <w:rPr>
          <w:rFonts w:ascii="Times New Roman" w:hAnsi="Times New Roman" w:eastAsia="方正楷体_GBK" w:cs="Times New Roman"/>
          <w:b/>
          <w:color w:val="000000" w:themeColor="text1"/>
          <w:sz w:val="32"/>
          <w:szCs w:val="20"/>
          <w14:textFill>
            <w14:solidFill>
              <w14:schemeClr w14:val="tx1"/>
            </w14:solidFill>
          </w14:textFill>
        </w:rPr>
      </w:pPr>
      <w:r>
        <w:rPr>
          <w:rFonts w:ascii="Times New Roman" w:eastAsia="方正楷体_GBK" w:cs="Times New Roman"/>
          <w:b/>
          <w:color w:val="000000" w:themeColor="text1"/>
          <w:sz w:val="32"/>
          <w:szCs w:val="20"/>
          <w14:textFill>
            <w14:solidFill>
              <w14:schemeClr w14:val="tx1"/>
            </w14:solidFill>
          </w14:textFill>
        </w:rPr>
        <w:t>（二）单位构成</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eastAsia="方正仿宋_GBK" w:cs="Times New Roman"/>
          <w:color w:val="000000" w:themeColor="text1"/>
          <w:sz w:val="32"/>
          <w:szCs w:val="20"/>
          <w14:textFill>
            <w14:solidFill>
              <w14:schemeClr w14:val="tx1"/>
            </w14:solidFill>
          </w14:textFill>
        </w:rPr>
        <w:t>本单位内设一个科室，为综合行政执法大队。</w:t>
      </w:r>
    </w:p>
    <w:p>
      <w:pPr>
        <w:spacing w:line="600" w:lineRule="exact"/>
        <w:ind w:firstLine="640" w:firstLineChars="200"/>
        <w:rPr>
          <w:rFonts w:ascii="Times New Roman" w:hAnsi="Times New Roman" w:eastAsia="方正黑体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二、单位收支总体情况</w:t>
      </w:r>
    </w:p>
    <w:p>
      <w:pPr>
        <w:spacing w:line="600" w:lineRule="exact"/>
        <w:ind w:firstLine="642"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eastAsia="方正楷体_GBK" w:cs="Times New Roman"/>
          <w:b/>
          <w:color w:val="000000" w:themeColor="text1"/>
          <w:sz w:val="32"/>
          <w:szCs w:val="20"/>
          <w14:textFill>
            <w14:solidFill>
              <w14:schemeClr w14:val="tx1"/>
            </w14:solidFill>
          </w14:textFill>
        </w:rPr>
        <w:t>（一）收入预算：</w:t>
      </w:r>
      <w:r>
        <w:rPr>
          <w:rFonts w:ascii="Times New Roman" w:hAnsi="Times New Roman" w:eastAsia="方正仿宋_GBK" w:cs="Times New Roman"/>
          <w:color w:val="000000" w:themeColor="text1"/>
          <w:sz w:val="32"/>
          <w:szCs w:val="20"/>
          <w14:textFill>
            <w14:solidFill>
              <w14:schemeClr w14:val="tx1"/>
            </w14:solidFill>
          </w14:textFill>
        </w:rPr>
        <w:t>2024年年初预算数110.58万元，其中：一般公共预算拨款110.58万元，政府性基金预算拨款0万元，国有资本经营预算收入0万元，事业收入0万元，事业单位经营收入0万元，其他收入0万元。收入较2023年</w:t>
      </w:r>
      <w:r>
        <w:rPr>
          <w:rFonts w:hint="eastAsia" w:ascii="Times New Roman" w:hAnsi="Times New Roman" w:eastAsia="方正仿宋_GBK" w:cs="Times New Roman"/>
          <w:color w:val="000000" w:themeColor="text1"/>
          <w:sz w:val="32"/>
          <w:szCs w:val="20"/>
          <w14:textFill>
            <w14:solidFill>
              <w14:schemeClr w14:val="tx1"/>
            </w14:solidFill>
          </w14:textFill>
        </w:rPr>
        <w:t>减少5.2</w:t>
      </w:r>
      <w:r>
        <w:rPr>
          <w:rFonts w:ascii="Times New Roman" w:hAnsi="Times New Roman" w:eastAsia="方正仿宋_GBK" w:cs="Times New Roman"/>
          <w:color w:val="000000" w:themeColor="text1"/>
          <w:sz w:val="32"/>
          <w:szCs w:val="20"/>
          <w14:textFill>
            <w14:solidFill>
              <w14:schemeClr w14:val="tx1"/>
            </w14:solidFill>
          </w14:textFill>
        </w:rPr>
        <w:t>万元，主要是</w:t>
      </w:r>
      <w:r>
        <w:rPr>
          <w:rFonts w:hint="eastAsia" w:ascii="Times New Roman" w:hAnsi="Times New Roman" w:eastAsia="方正仿宋_GBK" w:cs="Times New Roman"/>
          <w:color w:val="000000" w:themeColor="text1"/>
          <w:sz w:val="32"/>
          <w:szCs w:val="20"/>
          <w14:textFill>
            <w14:solidFill>
              <w14:schemeClr w14:val="tx1"/>
            </w14:solidFill>
          </w14:textFill>
        </w:rPr>
        <w:t>基本支出减少5.2</w:t>
      </w:r>
      <w:r>
        <w:rPr>
          <w:rFonts w:ascii="Times New Roman" w:hAnsi="Times New Roman" w:eastAsia="方正仿宋_GBK" w:cs="Times New Roman"/>
          <w:color w:val="000000" w:themeColor="text1"/>
          <w:sz w:val="32"/>
          <w:szCs w:val="20"/>
          <w14:textFill>
            <w14:solidFill>
              <w14:schemeClr w14:val="tx1"/>
            </w14:solidFill>
          </w14:textFill>
        </w:rPr>
        <w:t>万元。</w:t>
      </w:r>
    </w:p>
    <w:p>
      <w:pPr>
        <w:spacing w:line="600" w:lineRule="exact"/>
        <w:ind w:firstLine="642"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eastAsia="方正楷体_GBK" w:cs="Times New Roman"/>
          <w:b/>
          <w:color w:val="000000" w:themeColor="text1"/>
          <w:sz w:val="32"/>
          <w:szCs w:val="20"/>
          <w14:textFill>
            <w14:solidFill>
              <w14:schemeClr w14:val="tx1"/>
            </w14:solidFill>
          </w14:textFill>
        </w:rPr>
        <w:t>（二）支出预算：</w:t>
      </w:r>
      <w:r>
        <w:rPr>
          <w:rFonts w:ascii="Times New Roman" w:hAnsi="Times New Roman" w:eastAsia="方正仿宋_GBK" w:cs="Times New Roman"/>
          <w:color w:val="000000" w:themeColor="text1"/>
          <w:sz w:val="32"/>
          <w:szCs w:val="20"/>
          <w14:textFill>
            <w14:solidFill>
              <w14:schemeClr w14:val="tx1"/>
            </w14:solidFill>
          </w14:textFill>
        </w:rPr>
        <w:t>2024年年初预算数110.58万元，其中：一般公共服务支出预算89.38万元，社会保障和就业支出预算10.25万元，卫生健康支出预算5.82万元，住房保障支出预算5.13万元。支出预算较2023年</w:t>
      </w:r>
      <w:r>
        <w:rPr>
          <w:rFonts w:hint="eastAsia" w:ascii="Times New Roman" w:hAnsi="Times New Roman" w:eastAsia="方正仿宋_GBK" w:cs="Times New Roman"/>
          <w:color w:val="000000" w:themeColor="text1"/>
          <w:sz w:val="32"/>
          <w:szCs w:val="20"/>
          <w14:textFill>
            <w14:solidFill>
              <w14:schemeClr w14:val="tx1"/>
            </w14:solidFill>
          </w14:textFill>
        </w:rPr>
        <w:t>减少5.2</w:t>
      </w:r>
      <w:r>
        <w:rPr>
          <w:rFonts w:ascii="Times New Roman" w:hAnsi="Times New Roman" w:eastAsia="方正仿宋_GBK" w:cs="Times New Roman"/>
          <w:color w:val="000000" w:themeColor="text1"/>
          <w:sz w:val="32"/>
          <w:szCs w:val="20"/>
          <w14:textFill>
            <w14:solidFill>
              <w14:schemeClr w14:val="tx1"/>
            </w14:solidFill>
          </w14:textFill>
        </w:rPr>
        <w:t>万元，主要是基本支出预算增</w:t>
      </w:r>
      <w:r>
        <w:rPr>
          <w:rFonts w:hint="eastAsia" w:ascii="Times New Roman" w:hAnsi="Times New Roman" w:eastAsia="方正仿宋_GBK" w:cs="Times New Roman"/>
          <w:color w:val="000000" w:themeColor="text1"/>
          <w:sz w:val="32"/>
          <w:szCs w:val="20"/>
          <w14:textFill>
            <w14:solidFill>
              <w14:schemeClr w14:val="tx1"/>
            </w14:solidFill>
          </w14:textFill>
        </w:rPr>
        <w:t>减少5.2</w:t>
      </w:r>
      <w:r>
        <w:rPr>
          <w:rFonts w:ascii="Times New Roman" w:hAnsi="Times New Roman" w:eastAsia="方正仿宋_GBK" w:cs="Times New Roman"/>
          <w:color w:val="000000" w:themeColor="text1"/>
          <w:sz w:val="32"/>
          <w:szCs w:val="20"/>
          <w14:textFill>
            <w14:solidFill>
              <w14:schemeClr w14:val="tx1"/>
            </w14:solidFill>
          </w14:textFill>
        </w:rPr>
        <w:t>万元。</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三、单位预算情况说明</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2024年一般公共预算财政拨款收入110.58万元，一般公共预算财政拨款支出110.58万元，比2023年</w:t>
      </w:r>
      <w:r>
        <w:rPr>
          <w:rFonts w:hint="eastAsia" w:ascii="Times New Roman" w:hAnsi="Times New Roman" w:eastAsia="方正仿宋_GBK" w:cs="Times New Roman"/>
          <w:color w:val="000000" w:themeColor="text1"/>
          <w:sz w:val="32"/>
          <w:szCs w:val="20"/>
          <w14:textFill>
            <w14:solidFill>
              <w14:schemeClr w14:val="tx1"/>
            </w14:solidFill>
          </w14:textFill>
        </w:rPr>
        <w:t>减少5.2</w:t>
      </w:r>
      <w:r>
        <w:rPr>
          <w:rFonts w:ascii="Times New Roman" w:hAnsi="Times New Roman" w:eastAsia="方正仿宋_GBK" w:cs="Times New Roman"/>
          <w:color w:val="000000" w:themeColor="text1"/>
          <w:sz w:val="32"/>
          <w:szCs w:val="20"/>
          <w14:textFill>
            <w14:solidFill>
              <w14:schemeClr w14:val="tx1"/>
            </w14:solidFill>
          </w14:textFill>
        </w:rPr>
        <w:t>万元。其中：基本支出110.58万元，比2023年</w:t>
      </w:r>
      <w:r>
        <w:rPr>
          <w:rFonts w:hint="eastAsia" w:ascii="Times New Roman" w:hAnsi="Times New Roman" w:eastAsia="方正仿宋_GBK" w:cs="Times New Roman"/>
          <w:color w:val="000000" w:themeColor="text1"/>
          <w:sz w:val="32"/>
          <w:szCs w:val="20"/>
          <w14:textFill>
            <w14:solidFill>
              <w14:schemeClr w14:val="tx1"/>
            </w14:solidFill>
          </w14:textFill>
        </w:rPr>
        <w:t>减少5.2</w:t>
      </w:r>
      <w:r>
        <w:rPr>
          <w:rFonts w:ascii="Times New Roman" w:hAnsi="Times New Roman" w:eastAsia="方正仿宋_GBK" w:cs="Times New Roman"/>
          <w:color w:val="000000" w:themeColor="text1"/>
          <w:sz w:val="32"/>
          <w:szCs w:val="20"/>
          <w14:textFill>
            <w14:solidFill>
              <w14:schemeClr w14:val="tx1"/>
            </w14:solidFill>
          </w14:textFill>
        </w:rPr>
        <w:t>万元，主要用于保障在职人员工资福利及社会保险缴费，保障单位正常运转的各项商品服务支出。</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hint="eastAsia" w:ascii="Times New Roman" w:hAnsi="Times New Roman" w:eastAsia="方正仿宋_GBK" w:cs="Times New Roman"/>
          <w:color w:val="000000" w:themeColor="text1"/>
          <w:sz w:val="32"/>
          <w:szCs w:val="20"/>
          <w14:textFill>
            <w14:solidFill>
              <w14:schemeClr w14:val="tx1"/>
            </w14:solidFill>
          </w14:textFill>
        </w:rPr>
        <w:t>本单位</w:t>
      </w:r>
      <w:r>
        <w:rPr>
          <w:rFonts w:ascii="Times New Roman" w:hAnsi="Times New Roman" w:eastAsia="方正仿宋_GBK" w:cs="Times New Roman"/>
          <w:color w:val="000000" w:themeColor="text1"/>
          <w:sz w:val="32"/>
          <w:szCs w:val="20"/>
          <w14:textFill>
            <w14:solidFill>
              <w14:schemeClr w14:val="tx1"/>
            </w14:solidFill>
          </w14:textFill>
        </w:rPr>
        <w:t>202</w:t>
      </w:r>
      <w:r>
        <w:rPr>
          <w:rFonts w:hint="eastAsia" w:ascii="Times New Roman" w:hAnsi="Times New Roman" w:eastAsia="方正仿宋_GBK" w:cs="Times New Roman"/>
          <w:color w:val="000000" w:themeColor="text1"/>
          <w:sz w:val="32"/>
          <w:szCs w:val="20"/>
          <w14:textFill>
            <w14:solidFill>
              <w14:schemeClr w14:val="tx1"/>
            </w14:solidFill>
          </w14:textFill>
        </w:rPr>
        <w:t>4</w:t>
      </w:r>
      <w:r>
        <w:rPr>
          <w:rFonts w:ascii="Times New Roman" w:hAnsi="Times New Roman" w:eastAsia="方正仿宋_GBK" w:cs="Times New Roman"/>
          <w:color w:val="000000" w:themeColor="text1"/>
          <w:sz w:val="32"/>
          <w:szCs w:val="20"/>
          <w14:textFill>
            <w14:solidFill>
              <w14:schemeClr w14:val="tx1"/>
            </w14:solidFill>
          </w14:textFill>
        </w:rPr>
        <w:t>年无使用政府性基金预算拨款安排的支出。</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四、“三公”经费情况说明</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2023年未预算“三公”经费。</w:t>
      </w:r>
    </w:p>
    <w:p>
      <w:pPr>
        <w:spacing w:line="600" w:lineRule="exact"/>
        <w:ind w:firstLine="640" w:firstLineChars="200"/>
        <w:rPr>
          <w:rFonts w:ascii="Times New Roman" w:hAnsi="Times New Roman" w:eastAsia="方正黑体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五、其他重要事项的情况说明</w:t>
      </w:r>
    </w:p>
    <w:p>
      <w:pPr>
        <w:ind w:firstLine="642"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eastAsia="方正楷体_GBK"/>
          <w:b/>
          <w:color w:val="000000" w:themeColor="text1"/>
          <w:sz w:val="32"/>
          <w:szCs w:val="20"/>
          <w14:textFill>
            <w14:solidFill>
              <w14:schemeClr w14:val="tx1"/>
            </w14:solidFill>
          </w14:textFill>
        </w:rPr>
        <w:t>（一）机关运行经费。</w:t>
      </w:r>
      <w:r>
        <w:rPr>
          <w:rFonts w:ascii="Times New Roman" w:hAnsi="Times New Roman" w:eastAsia="方正仿宋_GBK" w:cs="Times New Roman"/>
          <w:color w:val="000000" w:themeColor="text1"/>
          <w:sz w:val="32"/>
          <w:szCs w:val="20"/>
          <w14:textFill>
            <w14:solidFill>
              <w14:schemeClr w14:val="tx1"/>
            </w14:solidFill>
          </w14:textFill>
        </w:rPr>
        <w:t>2024年一般公共预算财政拨款运行经费25.34万元，比上年增加</w:t>
      </w:r>
      <w:r>
        <w:rPr>
          <w:rFonts w:hint="eastAsia" w:ascii="Times New Roman" w:hAnsi="Times New Roman" w:eastAsia="方正仿宋_GBK" w:cs="Times New Roman"/>
          <w:color w:val="000000" w:themeColor="text1"/>
          <w:sz w:val="32"/>
          <w:szCs w:val="20"/>
          <w14:textFill>
            <w14:solidFill>
              <w14:schemeClr w14:val="tx1"/>
            </w14:solidFill>
          </w14:textFill>
        </w:rPr>
        <w:t>1.02</w:t>
      </w:r>
      <w:r>
        <w:rPr>
          <w:rFonts w:ascii="Times New Roman" w:hAnsi="Times New Roman" w:eastAsia="方正仿宋_GBK" w:cs="Times New Roman"/>
          <w:color w:val="000000" w:themeColor="text1"/>
          <w:sz w:val="32"/>
          <w:szCs w:val="20"/>
          <w14:textFill>
            <w14:solidFill>
              <w14:schemeClr w14:val="tx1"/>
            </w14:solidFill>
          </w14:textFill>
        </w:rPr>
        <w:t>万元。主要用于办公费、印刷费、邮电费、水电费、物管费、差旅费、会议费、培训费及其他商品和服务支出等。</w:t>
      </w:r>
    </w:p>
    <w:p>
      <w:pPr>
        <w:spacing w:line="600" w:lineRule="exact"/>
        <w:ind w:firstLine="642" w:firstLineChars="200"/>
        <w:rPr>
          <w:color w:val="000000" w:themeColor="text1"/>
          <w14:textFill>
            <w14:solidFill>
              <w14:schemeClr w14:val="tx1"/>
            </w14:solidFill>
          </w14:textFill>
        </w:rPr>
      </w:pPr>
      <w:r>
        <w:rPr>
          <w:rFonts w:eastAsia="方正楷体_GBK"/>
          <w:b/>
          <w:color w:val="000000" w:themeColor="text1"/>
          <w:sz w:val="32"/>
          <w:szCs w:val="20"/>
          <w14:textFill>
            <w14:solidFill>
              <w14:schemeClr w14:val="tx1"/>
            </w14:solidFill>
          </w14:textFill>
        </w:rPr>
        <w:t>（二）政府采购情况。</w:t>
      </w:r>
      <w:r>
        <w:rPr>
          <w:rFonts w:eastAsia="方正仿宋_GBK"/>
          <w:color w:val="000000" w:themeColor="text1"/>
          <w:sz w:val="32"/>
          <w:szCs w:val="20"/>
          <w14:textFill>
            <w14:solidFill>
              <w14:schemeClr w14:val="tx1"/>
            </w14:solidFill>
          </w14:textFill>
        </w:rPr>
        <w:t>本单位未编列政府采购预算。</w:t>
      </w:r>
    </w:p>
    <w:p>
      <w:pPr>
        <w:ind w:firstLine="642"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eastAsia="方正楷体_GBK"/>
          <w:b/>
          <w:color w:val="000000" w:themeColor="text1"/>
          <w:sz w:val="32"/>
          <w:szCs w:val="20"/>
          <w14:textFill>
            <w14:solidFill>
              <w14:schemeClr w14:val="tx1"/>
            </w14:solidFill>
          </w14:textFill>
        </w:rPr>
        <w:t>（三）绩效目标设置情况。</w:t>
      </w:r>
      <w:r>
        <w:rPr>
          <w:rFonts w:ascii="Times New Roman" w:hAnsi="Times New Roman" w:eastAsia="方正仿宋_GBK" w:cs="Times New Roman"/>
          <w:color w:val="000000" w:themeColor="text1"/>
          <w:sz w:val="32"/>
          <w:szCs w:val="20"/>
          <w14:textFill>
            <w14:solidFill>
              <w14:schemeClr w14:val="tx1"/>
            </w14:solidFill>
          </w14:textFill>
        </w:rPr>
        <w:t>2024年项目支出均实行了绩效目标管理，涉及一般公共预算当年财政拨款</w:t>
      </w:r>
      <w:r>
        <w:rPr>
          <w:rFonts w:ascii="Times New Roman" w:hAnsi="Times New Roman" w:eastAsia="方正仿宋_GBK" w:cs="Times New Roman"/>
          <w:color w:val="000000" w:themeColor="text1"/>
          <w:sz w:val="32"/>
          <w:szCs w:val="20"/>
          <w14:textFill>
            <w14:solidFill>
              <w14:schemeClr w14:val="tx1"/>
            </w14:solidFill>
          </w14:textFill>
        </w:rPr>
        <w:t>110.58</w:t>
      </w:r>
      <w:r>
        <w:rPr>
          <w:rFonts w:ascii="Times New Roman" w:hAnsi="Times New Roman" w:eastAsia="方正仿宋_GBK" w:cs="Times New Roman"/>
          <w:color w:val="000000" w:themeColor="text1"/>
          <w:sz w:val="32"/>
          <w:szCs w:val="20"/>
          <w14:textFill>
            <w14:solidFill>
              <w14:schemeClr w14:val="tx1"/>
            </w14:solidFill>
          </w14:textFill>
        </w:rPr>
        <w:t>万元。</w:t>
      </w:r>
    </w:p>
    <w:p>
      <w:pPr>
        <w:ind w:firstLine="642"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eastAsia="方正楷体_GBK"/>
          <w:b/>
          <w:color w:val="000000" w:themeColor="text1"/>
          <w:sz w:val="32"/>
          <w:szCs w:val="20"/>
          <w14:textFill>
            <w14:solidFill>
              <w14:schemeClr w14:val="tx1"/>
            </w14:solidFill>
          </w14:textFill>
        </w:rPr>
        <w:t>（四）国有资产占有使用情况。</w:t>
      </w:r>
      <w:r>
        <w:rPr>
          <w:rFonts w:hint="eastAsia" w:ascii="Times New Roman" w:hAnsi="Times New Roman" w:eastAsia="方正仿宋_GBK" w:cs="Times New Roman"/>
          <w:color w:val="000000" w:themeColor="text1"/>
          <w:sz w:val="32"/>
          <w:szCs w:val="20"/>
          <w:lang w:eastAsia="zh-CN"/>
          <w14:textFill>
            <w14:solidFill>
              <w14:schemeClr w14:val="tx1"/>
            </w14:solidFill>
          </w14:textFill>
        </w:rPr>
        <w:t>截至</w:t>
      </w:r>
      <w:r>
        <w:rPr>
          <w:rFonts w:ascii="Times New Roman" w:hAnsi="Times New Roman" w:eastAsia="方正仿宋_GBK" w:cs="Times New Roman"/>
          <w:color w:val="000000" w:themeColor="text1"/>
          <w:sz w:val="32"/>
          <w:szCs w:val="20"/>
          <w14:textFill>
            <w14:solidFill>
              <w14:schemeClr w14:val="tx1"/>
            </w14:solidFill>
          </w14:textFill>
        </w:rPr>
        <w:t>2023年12月，本单位共有车辆</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辆，其中一般公务用车</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辆、执勤执法用车</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辆。2024年一般公共预算安排购置车辆</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辆，其中一般公务用车</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辆、执勤执法用车</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辆。</w:t>
      </w:r>
    </w:p>
    <w:p>
      <w:pPr>
        <w:ind w:firstLine="640" w:firstLineChars="200"/>
        <w:rPr>
          <w:rFonts w:ascii="Times New Roman" w:hAnsi="Times New Roman" w:eastAsia="方正黑体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六、专业性名词解释</w:t>
      </w:r>
    </w:p>
    <w:p>
      <w:pPr>
        <w:tabs>
          <w:tab w:val="center" w:pos="4153"/>
          <w:tab w:val="left" w:pos="7275"/>
        </w:tabs>
        <w:spacing w:line="600" w:lineRule="exact"/>
        <w:ind w:firstLine="642"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eastAsia="方正楷体_GBK"/>
          <w:b/>
          <w:color w:val="000000" w:themeColor="text1"/>
          <w:sz w:val="32"/>
          <w:szCs w:val="20"/>
          <w14:textFill>
            <w14:solidFill>
              <w14:schemeClr w14:val="tx1"/>
            </w14:solidFill>
          </w14:textFill>
        </w:rPr>
        <w:t>（一）财政拨款收入：</w:t>
      </w:r>
      <w:r>
        <w:rPr>
          <w:rFonts w:ascii="Times New Roman" w:hAnsi="Times New Roman" w:eastAsia="方正仿宋_GBK" w:cs="Times New Roman"/>
          <w:color w:val="000000" w:themeColor="text1"/>
          <w:sz w:val="32"/>
          <w:szCs w:val="32"/>
          <w14:textFill>
            <w14:solidFill>
              <w14:schemeClr w14:val="tx1"/>
            </w14:solidFill>
          </w14:textFill>
        </w:rPr>
        <w:t>指本年度从本级财政部门取得的财政拨款，包括一般公共预算财政拨款和政府性基金预算财政拨款。</w:t>
      </w:r>
    </w:p>
    <w:p>
      <w:pPr>
        <w:tabs>
          <w:tab w:val="center" w:pos="4153"/>
          <w:tab w:val="left" w:pos="7275"/>
        </w:tabs>
        <w:spacing w:line="600" w:lineRule="exact"/>
        <w:ind w:firstLine="642"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eastAsia="方正楷体_GBK"/>
          <w:b/>
          <w:color w:val="000000" w:themeColor="text1"/>
          <w:sz w:val="32"/>
          <w:szCs w:val="20"/>
          <w14:textFill>
            <w14:solidFill>
              <w14:schemeClr w14:val="tx1"/>
            </w14:solidFill>
          </w14:textFill>
        </w:rPr>
        <w:t>（二）其他收入：</w:t>
      </w:r>
      <w:r>
        <w:rPr>
          <w:rFonts w:ascii="Times New Roman" w:hAnsi="Times New Roman" w:eastAsia="方正仿宋_GBK" w:cs="Times New Roman"/>
          <w:color w:val="000000" w:themeColor="text1"/>
          <w:sz w:val="32"/>
          <w:szCs w:val="32"/>
          <w14:textFill>
            <w14:solidFill>
              <w14:schemeClr w14:val="tx1"/>
            </w14:solidFill>
          </w14:textFill>
        </w:rPr>
        <w:t>指单位取得的除“财政拨款收入”、“事业收入”、“经营收入”等以外的收入。</w:t>
      </w:r>
    </w:p>
    <w:p>
      <w:pPr>
        <w:tabs>
          <w:tab w:val="center" w:pos="4153"/>
          <w:tab w:val="left" w:pos="7275"/>
        </w:tabs>
        <w:spacing w:line="600" w:lineRule="exact"/>
        <w:ind w:firstLine="642"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eastAsia="方正楷体_GBK"/>
          <w:b/>
          <w:color w:val="000000" w:themeColor="text1"/>
          <w:sz w:val="32"/>
          <w:szCs w:val="20"/>
          <w14:textFill>
            <w14:solidFill>
              <w14:schemeClr w14:val="tx1"/>
            </w14:solidFill>
          </w14:textFill>
        </w:rPr>
        <w:t>（三）基本支出：</w:t>
      </w:r>
      <w:r>
        <w:rPr>
          <w:rFonts w:ascii="Times New Roman" w:hAnsi="Times New Roman" w:eastAsia="方正仿宋_GBK" w:cs="Times New Roman"/>
          <w:color w:val="000000" w:themeColor="text1"/>
          <w:sz w:val="32"/>
          <w:szCs w:val="32"/>
          <w14:textFill>
            <w14:solidFill>
              <w14:schemeClr w14:val="tx1"/>
            </w14:solidFill>
          </w14:textFill>
        </w:rPr>
        <w:t>指为保障机构正常运转、完成日常工作任务而发生的人员经费和公用经费。</w:t>
      </w:r>
    </w:p>
    <w:p>
      <w:pPr>
        <w:tabs>
          <w:tab w:val="center" w:pos="4153"/>
          <w:tab w:val="left" w:pos="7275"/>
        </w:tabs>
        <w:spacing w:line="600"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w:t>
      </w:r>
      <w:r>
        <w:rPr>
          <w:rFonts w:eastAsia="方正楷体_GBK"/>
          <w:b/>
          <w:color w:val="000000" w:themeColor="text1"/>
          <w:sz w:val="32"/>
          <w:szCs w:val="20"/>
          <w14:textFill>
            <w14:solidFill>
              <w14:schemeClr w14:val="tx1"/>
            </w14:solidFill>
          </w14:textFill>
        </w:rPr>
        <w:t>四）项目支出：</w:t>
      </w:r>
      <w:r>
        <w:rPr>
          <w:rFonts w:ascii="Times New Roman" w:hAnsi="Times New Roman" w:eastAsia="方正仿宋_GBK" w:cs="Times New Roman"/>
          <w:color w:val="000000" w:themeColor="text1"/>
          <w:sz w:val="32"/>
          <w:szCs w:val="32"/>
          <w14:textFill>
            <w14:solidFill>
              <w14:schemeClr w14:val="tx1"/>
            </w14:solidFill>
          </w14:textFill>
        </w:rPr>
        <w:t>指在基本支出之外为完成特定行政任务和事业发展目标所发生的支出。</w:t>
      </w:r>
    </w:p>
    <w:p>
      <w:pPr>
        <w:ind w:firstLine="64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eastAsia="方正楷体_GBK"/>
          <w:b/>
          <w:color w:val="000000" w:themeColor="text1"/>
          <w:sz w:val="32"/>
          <w:szCs w:val="20"/>
          <w14:textFill>
            <w14:solidFill>
              <w14:schemeClr w14:val="tx1"/>
            </w14:solidFill>
          </w14:textFill>
        </w:rPr>
        <w:t>（五）“三公”经费：</w:t>
      </w:r>
      <w:r>
        <w:rPr>
          <w:rFonts w:ascii="Times New Roman" w:hAnsi="Times New Roman" w:eastAsia="方正仿宋_GBK" w:cs="Times New Roman"/>
          <w:color w:val="000000" w:themeColor="text1"/>
          <w:sz w:val="32"/>
          <w:szCs w:val="32"/>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rPr>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部门预算公开联系人：赵霞</w:t>
      </w:r>
      <w:r>
        <w:rPr>
          <w:rFonts w:hint="eastAsia" w:eastAsia="方正仿宋_GBK"/>
          <w:color w:val="000000" w:themeColor="text1"/>
          <w:sz w:val="32"/>
          <w:szCs w:val="32"/>
          <w:lang w:eastAsia="zh-CN"/>
          <w14:textFill>
            <w14:solidFill>
              <w14:schemeClr w14:val="tx1"/>
            </w14:solidFill>
          </w14:textFill>
        </w:rPr>
        <w:t>，联系方式</w:t>
      </w:r>
      <w:r>
        <w:rPr>
          <w:rFonts w:eastAsia="方正仿宋_GBK"/>
          <w:color w:val="000000" w:themeColor="text1"/>
          <w:sz w:val="32"/>
          <w:szCs w:val="32"/>
          <w14:textFill>
            <w14:solidFill>
              <w14:schemeClr w14:val="tx1"/>
            </w14:solidFill>
          </w14:textFill>
        </w:rPr>
        <w:t>：023-61691708）</w:t>
      </w:r>
    </w:p>
    <w:bookmarkEnd w:id="0"/>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altName w:val="华文中宋"/>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docPartObj>
        <w:docPartGallery w:val="autotext"/>
      </w:docPartObj>
    </w:sdtPr>
    <w:sdtContent>
      <w:p>
        <w:pPr>
          <w:pStyle w:val="3"/>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3</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3"/>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docPartObj>
        <w:docPartGallery w:val="autotext"/>
      </w:docPartObj>
    </w:sdtPr>
    <w:sdtContent>
      <w:p>
        <w:pPr>
          <w:pStyle w:val="3"/>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3"/>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0F00"/>
    <w:rsid w:val="001E264F"/>
    <w:rsid w:val="00340F00"/>
    <w:rsid w:val="00484AE9"/>
    <w:rsid w:val="009F428A"/>
    <w:rsid w:val="00CF5FFD"/>
    <w:rsid w:val="00D0602E"/>
    <w:rsid w:val="00DF76CF"/>
    <w:rsid w:val="00FE11D0"/>
    <w:rsid w:val="264B2125"/>
    <w:rsid w:val="DA9503DF"/>
    <w:rsid w:val="FFD8D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6"/>
    <w:qFormat/>
    <w:uiPriority w:val="0"/>
    <w:pPr>
      <w:tabs>
        <w:tab w:val="center" w:pos="4153"/>
        <w:tab w:val="right" w:pos="8306"/>
      </w:tabs>
      <w:snapToGrid w:val="0"/>
      <w:jc w:val="left"/>
    </w:pPr>
    <w:rPr>
      <w:sz w:val="18"/>
      <w:szCs w:val="18"/>
    </w:rPr>
  </w:style>
  <w:style w:type="character" w:customStyle="1" w:styleId="6">
    <w:name w:val="页脚 Char"/>
    <w:basedOn w:val="5"/>
    <w:link w:val="3"/>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196</Words>
  <Characters>1122</Characters>
  <Lines>9</Lines>
  <Paragraphs>2</Paragraphs>
  <TotalTime>24</TotalTime>
  <ScaleCrop>false</ScaleCrop>
  <LinksUpToDate>false</LinksUpToDate>
  <CharactersWithSpaces>1316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2024-04-08T17:06:00Z</dcterms:created>
  <dc:creator>Administrator</dc:creator>
  <cp:lastModifiedBy>uos</cp:lastModifiedBy>
  <dcterms:modified xsi:type="dcterms:W3CDTF">2024-05-10T09:06:35Z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