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bookmarkStart w:id="0" w:name="_GoBack"/>
      <w:r>
        <w:rPr>
          <w:rFonts w:ascii="Times New Roman" w:eastAsia="方正小标宋_GBK" w:cs="Times New Roman"/>
          <w:color w:val="000000" w:themeColor="text1"/>
          <w:sz w:val="44"/>
          <w:szCs w:val="44"/>
          <w14:textFill>
            <w14:solidFill>
              <w14:schemeClr w14:val="tx1"/>
            </w14:solidFill>
          </w14:textFill>
        </w:rPr>
        <w:t>虎溪街道社区文化服务中心</w:t>
      </w:r>
      <w:r>
        <w:rPr>
          <w:rFonts w:ascii="Times New Roman" w:hAnsi="Times New Roman" w:eastAsia="方正小标宋_GBK" w:cs="Times New Roman"/>
          <w:color w:val="000000" w:themeColor="text1"/>
          <w:sz w:val="44"/>
          <w:szCs w:val="44"/>
          <w14:textFill>
            <w14:solidFill>
              <w14:schemeClr w14:val="tx1"/>
            </w14:solidFill>
          </w14:textFill>
        </w:rPr>
        <w:t>2024</w:t>
      </w:r>
      <w:r>
        <w:rPr>
          <w:rFonts w:ascii="Times New Roman" w:eastAsia="方正小标宋_GBK" w:cs="Times New Roman"/>
          <w:color w:val="000000" w:themeColor="text1"/>
          <w:sz w:val="44"/>
          <w:szCs w:val="44"/>
          <w14:textFill>
            <w14:solidFill>
              <w14:schemeClr w14:val="tx1"/>
            </w14:solidFill>
          </w14:textFill>
        </w:rPr>
        <w:t>年单位预算情况说明</w:t>
      </w:r>
    </w:p>
    <w:p>
      <w:pPr>
        <w:spacing w:line="600" w:lineRule="exact"/>
        <w:ind w:firstLine="880" w:firstLineChars="200"/>
        <w:jc w:val="center"/>
        <w:rPr>
          <w:rFonts w:ascii="Times New Roman" w:hAnsi="Times New Roman" w:eastAsia="华文中宋" w:cs="Times New Roman"/>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一、单位基本情况</w:t>
      </w:r>
    </w:p>
    <w:p>
      <w:pPr>
        <w:spacing w:line="600" w:lineRule="exact"/>
        <w:ind w:firstLine="642" w:firstLineChars="200"/>
        <w:rPr>
          <w:rFonts w:eastAsia="方正楷体_GBK"/>
          <w:b/>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（一）职能职责</w:t>
      </w:r>
    </w:p>
    <w:p>
      <w:pPr>
        <w:spacing w:line="600" w:lineRule="exact"/>
        <w:ind w:firstLine="640" w:firstLineChars="200"/>
        <w:rPr>
          <w:rFonts w:eastAsia="微软雅黑"/>
          <w:color w:val="000000" w:themeColor="text1"/>
          <w:sz w:val="28"/>
          <w:szCs w:val="28"/>
          <w14:textFill>
            <w14:solidFill>
              <w14:schemeClr w14:val="tx1"/>
            </w14:solidFill>
          </w14:textFill>
        </w:rPr>
      </w:pPr>
      <w:r>
        <w:rPr>
          <w:rFonts w:eastAsia="方正仿宋_GBK"/>
          <w:color w:val="000000" w:themeColor="text1"/>
          <w:sz w:val="32"/>
          <w:szCs w:val="20"/>
          <w14:textFill>
            <w14:solidFill>
              <w14:schemeClr w14:val="tx1"/>
            </w14:solidFill>
          </w14:textFill>
        </w:rPr>
        <w:t>承担教育、文化、旅游、体育、科技培训等方面的服务工作。</w:t>
      </w:r>
    </w:p>
    <w:p>
      <w:pPr>
        <w:spacing w:line="600" w:lineRule="exact"/>
        <w:ind w:firstLine="642" w:firstLineChars="200"/>
        <w:rPr>
          <w:rFonts w:eastAsia="方正楷体_GBK"/>
          <w:b/>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（二）单位构成</w:t>
      </w:r>
    </w:p>
    <w:p>
      <w:pPr>
        <w:spacing w:line="600" w:lineRule="exact"/>
        <w:ind w:firstLine="640" w:firstLineChars="200"/>
        <w:rPr>
          <w:rFonts w:eastAsia="方正仿宋_GBK"/>
          <w:color w:val="000000" w:themeColor="text1"/>
          <w:sz w:val="32"/>
          <w:szCs w:val="20"/>
          <w14:textFill>
            <w14:solidFill>
              <w14:schemeClr w14:val="tx1"/>
            </w14:solidFill>
          </w14:textFill>
        </w:rPr>
      </w:pPr>
      <w:r>
        <w:rPr>
          <w:rFonts w:eastAsia="方正仿宋_GBK"/>
          <w:color w:val="000000" w:themeColor="text1"/>
          <w:sz w:val="32"/>
          <w:szCs w:val="20"/>
          <w14:textFill>
            <w14:solidFill>
              <w14:schemeClr w14:val="tx1"/>
            </w14:solidFill>
          </w14:textFill>
        </w:rPr>
        <w:t>本单位内设一个科室，为社区文化服务中心。</w:t>
      </w: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二、单位收支总体情况</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（一）收入预算：</w:t>
      </w:r>
      <w:r>
        <w:rPr>
          <w:rFonts w:ascii="Times New Roman" w:hAnsi="Times New Roman" w:eastAsia="方正仿宋_GBK" w:cs="Times New Roman"/>
          <w:color w:val="000000" w:themeColor="text1"/>
          <w:sz w:val="32"/>
          <w:szCs w:val="20"/>
          <w14:textFill>
            <w14:solidFill>
              <w14:schemeClr w14:val="tx1"/>
            </w14:solidFill>
          </w14:textFill>
        </w:rPr>
        <w:t>2024年年初预算数125.61万元，其中：一般公共预算拨款125.61万元，政府性基金预算拨款</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万元，国有资本经营预算收入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万元，事业收入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万元，事业单位经营收入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万元，其他收入</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万元。收入较2023年</w:t>
      </w:r>
      <w:r>
        <w:rPr>
          <w:rFonts w:hint="eastAsia" w:ascii="Times New Roman" w:hAnsi="Times New Roman" w:eastAsia="方正仿宋_GBK" w:cs="Times New Roman"/>
          <w:color w:val="000000" w:themeColor="text1"/>
          <w:sz w:val="32"/>
          <w:szCs w:val="20"/>
          <w14:textFill>
            <w14:solidFill>
              <w14:schemeClr w14:val="tx1"/>
            </w14:solidFill>
          </w14:textFill>
        </w:rPr>
        <w:t>减少106.35</w:t>
      </w:r>
      <w:r>
        <w:rPr>
          <w:rFonts w:ascii="Times New Roman" w:hAnsi="Times New Roman" w:eastAsia="方正仿宋_GBK" w:cs="Times New Roman"/>
          <w:color w:val="000000" w:themeColor="text1"/>
          <w:sz w:val="32"/>
          <w:szCs w:val="20"/>
          <w14:textFill>
            <w14:solidFill>
              <w14:schemeClr w14:val="tx1"/>
            </w14:solidFill>
          </w14:textFill>
        </w:rPr>
        <w:t>万元，主要是项目支出按照标准化预算减少。</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（二）支出预算：</w:t>
      </w:r>
      <w:r>
        <w:rPr>
          <w:rFonts w:ascii="Times New Roman" w:hAnsi="Times New Roman" w:eastAsia="方正仿宋_GBK" w:cs="Times New Roman"/>
          <w:color w:val="000000" w:themeColor="text1"/>
          <w:sz w:val="32"/>
          <w:szCs w:val="20"/>
          <w14:textFill>
            <w14:solidFill>
              <w14:schemeClr w14:val="tx1"/>
            </w14:solidFill>
          </w14:textFill>
        </w:rPr>
        <w:t>2024年年初预算数125.61万元，其中：文化旅游体育与传媒支出预算92.06万元，社会保障和就业支出预算22.1万元，卫生健康支出预算6.05万元，住房保障支出预算5.4万元。支出预算较2023年</w:t>
      </w:r>
      <w:r>
        <w:rPr>
          <w:rFonts w:hint="eastAsia" w:ascii="Times New Roman" w:hAnsi="Times New Roman" w:eastAsia="方正仿宋_GBK" w:cs="Times New Roman"/>
          <w:color w:val="000000" w:themeColor="text1"/>
          <w:sz w:val="32"/>
          <w:szCs w:val="20"/>
          <w14:textFill>
            <w14:solidFill>
              <w14:schemeClr w14:val="tx1"/>
            </w14:solidFill>
          </w14:textFill>
        </w:rPr>
        <w:t>减少106.35</w:t>
      </w:r>
      <w:r>
        <w:rPr>
          <w:rFonts w:ascii="Times New Roman" w:hAnsi="Times New Roman" w:eastAsia="方正仿宋_GBK" w:cs="Times New Roman"/>
          <w:color w:val="000000" w:themeColor="text1"/>
          <w:sz w:val="32"/>
          <w:szCs w:val="20"/>
          <w14:textFill>
            <w14:solidFill>
              <w14:schemeClr w14:val="tx1"/>
            </w14:solidFill>
          </w14:textFill>
        </w:rPr>
        <w:t>万元，主要是基本支出预算</w:t>
      </w:r>
      <w:r>
        <w:rPr>
          <w:rFonts w:hint="eastAsia" w:ascii="Times New Roman" w:hAnsi="Times New Roman" w:eastAsia="方正仿宋_GBK" w:cs="Times New Roman"/>
          <w:color w:val="000000" w:themeColor="text1"/>
          <w:sz w:val="32"/>
          <w:szCs w:val="20"/>
          <w14:textFill>
            <w14:solidFill>
              <w14:schemeClr w14:val="tx1"/>
            </w14:solidFill>
          </w14:textFill>
        </w:rPr>
        <w:t>减少9.35</w:t>
      </w:r>
      <w:r>
        <w:rPr>
          <w:rFonts w:ascii="Times New Roman" w:hAnsi="Times New Roman" w:eastAsia="方正仿宋_GBK" w:cs="Times New Roman"/>
          <w:color w:val="000000" w:themeColor="text1"/>
          <w:sz w:val="32"/>
          <w:szCs w:val="20"/>
          <w14:textFill>
            <w14:solidFill>
              <w14:schemeClr w14:val="tx1"/>
            </w14:solidFill>
          </w14:textFill>
        </w:rPr>
        <w:t>万元，项目支出预算</w:t>
      </w:r>
      <w:r>
        <w:rPr>
          <w:rFonts w:hint="eastAsia" w:ascii="Times New Roman" w:hAnsi="Times New Roman" w:eastAsia="方正仿宋_GBK" w:cs="Times New Roman"/>
          <w:color w:val="000000" w:themeColor="text1"/>
          <w:sz w:val="32"/>
          <w:szCs w:val="20"/>
          <w14:textFill>
            <w14:solidFill>
              <w14:schemeClr w14:val="tx1"/>
            </w14:solidFill>
          </w14:textFill>
        </w:rPr>
        <w:t>减少97</w:t>
      </w:r>
      <w:r>
        <w:rPr>
          <w:rFonts w:ascii="Times New Roman" w:hAnsi="Times New Roman" w:eastAsia="方正仿宋_GBK" w:cs="Times New Roman"/>
          <w:color w:val="000000" w:themeColor="text1"/>
          <w:sz w:val="32"/>
          <w:szCs w:val="20"/>
          <w14:textFill>
            <w14:solidFill>
              <w14:schemeClr w14:val="tx1"/>
            </w14:solidFill>
          </w14:textFill>
        </w:rPr>
        <w:t>万元。</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三、单位预算情况说明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2024年一般公共预算财政拨款收入125.61万元，一般公共预算财政拨款支出125.61万元，比2023年</w:t>
      </w:r>
      <w:r>
        <w:rPr>
          <w:rFonts w:hint="eastAsia" w:ascii="Times New Roman" w:hAnsi="Times New Roman" w:eastAsia="方正仿宋_GBK" w:cs="Times New Roman"/>
          <w:color w:val="000000" w:themeColor="text1"/>
          <w:sz w:val="32"/>
          <w:szCs w:val="20"/>
          <w14:textFill>
            <w14:solidFill>
              <w14:schemeClr w14:val="tx1"/>
            </w14:solidFill>
          </w14:textFill>
        </w:rPr>
        <w:t>减少106.35</w:t>
      </w:r>
      <w:r>
        <w:rPr>
          <w:rFonts w:ascii="Times New Roman" w:hAnsi="Times New Roman" w:eastAsia="方正仿宋_GBK" w:cs="Times New Roman"/>
          <w:color w:val="000000" w:themeColor="text1"/>
          <w:sz w:val="32"/>
          <w:szCs w:val="20"/>
          <w14:textFill>
            <w14:solidFill>
              <w14:schemeClr w14:val="tx1"/>
            </w14:solidFill>
          </w14:textFill>
        </w:rPr>
        <w:t>万元。其中：基本支出125.61万元，比2023年</w:t>
      </w:r>
      <w:r>
        <w:rPr>
          <w:rFonts w:hint="eastAsia" w:ascii="Times New Roman" w:hAnsi="Times New Roman" w:eastAsia="方正仿宋_GBK" w:cs="Times New Roman"/>
          <w:color w:val="000000" w:themeColor="text1"/>
          <w:sz w:val="32"/>
          <w:szCs w:val="20"/>
          <w14:textFill>
            <w14:solidFill>
              <w14:schemeClr w14:val="tx1"/>
            </w14:solidFill>
          </w14:textFill>
        </w:rPr>
        <w:t>减少9.35</w:t>
      </w:r>
      <w:r>
        <w:rPr>
          <w:rFonts w:ascii="Times New Roman" w:hAnsi="Times New Roman" w:eastAsia="方正仿宋_GBK" w:cs="Times New Roman"/>
          <w:color w:val="000000" w:themeColor="text1"/>
          <w:sz w:val="32"/>
          <w:szCs w:val="20"/>
          <w14:textFill>
            <w14:solidFill>
              <w14:schemeClr w14:val="tx1"/>
            </w14:solidFill>
          </w14:textFill>
        </w:rPr>
        <w:t>万元，主要用于保障在职人员工资福利及社会保险缴费，退休人员补助等，保障单位正常运转的各项商品服务支出；项目支出</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万元，比2023年</w:t>
      </w:r>
      <w:r>
        <w:rPr>
          <w:rFonts w:hint="eastAsia" w:ascii="Times New Roman" w:hAnsi="Times New Roman" w:eastAsia="方正仿宋_GBK" w:cs="Times New Roman"/>
          <w:color w:val="000000" w:themeColor="text1"/>
          <w:sz w:val="32"/>
          <w:szCs w:val="20"/>
          <w14:textFill>
            <w14:solidFill>
              <w14:schemeClr w14:val="tx1"/>
            </w14:solidFill>
          </w14:textFill>
        </w:rPr>
        <w:t>减少97</w:t>
      </w:r>
      <w:r>
        <w:rPr>
          <w:rFonts w:ascii="Times New Roman" w:hAnsi="Times New Roman" w:eastAsia="方正仿宋_GBK" w:cs="Times New Roman"/>
          <w:color w:val="000000" w:themeColor="text1"/>
          <w:sz w:val="32"/>
          <w:szCs w:val="20"/>
          <w14:textFill>
            <w14:solidFill>
              <w14:schemeClr w14:val="tx1"/>
            </w14:solidFill>
          </w14:textFill>
        </w:rPr>
        <w:t>万元</w:t>
      </w:r>
      <w:r>
        <w:rPr>
          <w:rFonts w:hint="eastAsia" w:ascii="Times New Roman" w:hAnsi="Times New Roman" w:eastAsia="方正仿宋_GBK" w:cs="Times New Roman"/>
          <w:color w:val="000000" w:themeColor="text1"/>
          <w:sz w:val="32"/>
          <w:szCs w:val="20"/>
          <w14:textFill>
            <w14:solidFill>
              <w14:schemeClr w14:val="tx1"/>
            </w14:solidFill>
          </w14:textFill>
        </w:rPr>
        <w:t>，</w:t>
      </w:r>
      <w:r>
        <w:rPr>
          <w:rFonts w:ascii="Times New Roman" w:hAnsi="Times New Roman" w:eastAsia="方正仿宋_GBK" w:cs="Times New Roman"/>
          <w:color w:val="000000" w:themeColor="text1"/>
          <w:sz w:val="32"/>
          <w:szCs w:val="20"/>
          <w14:textFill>
            <w14:solidFill>
              <w14:schemeClr w14:val="tx1"/>
            </w14:solidFill>
          </w14:textFill>
        </w:rPr>
        <w:t>主要原因是项目支出按照标准化预算减少。</w:t>
      </w:r>
    </w:p>
    <w:p>
      <w:pPr>
        <w:spacing w:line="600" w:lineRule="exact"/>
        <w:ind w:firstLine="640" w:firstLineChars="200"/>
        <w:rPr>
          <w:rFonts w:ascii="Times New Roman" w:eastAsia="方正仿宋_GBK" w:cs="Times New Roman"/>
          <w:color w:val="000000" w:themeColor="text1"/>
          <w:sz w:val="32"/>
          <w:szCs w:val="20"/>
          <w14:textFill>
            <w14:solidFill>
              <w14:schemeClr w14:val="tx1"/>
            </w14:solidFill>
          </w14:textFill>
        </w:rPr>
      </w:pPr>
      <w:r>
        <w:rPr>
          <w:rFonts w:ascii="Times New Roman" w:eastAsia="方正仿宋_GBK" w:cs="Times New Roman"/>
          <w:color w:val="000000" w:themeColor="text1"/>
          <w:sz w:val="32"/>
          <w:szCs w:val="20"/>
          <w14:textFill>
            <w14:solidFill>
              <w14:schemeClr w14:val="tx1"/>
            </w14:solidFill>
          </w14:textFill>
        </w:rPr>
        <w:t>本单位</w:t>
      </w:r>
      <w:r>
        <w:rPr>
          <w:rFonts w:ascii="Times New Roman" w:hAnsi="Times New Roman" w:eastAsia="方正仿宋_GBK" w:cs="Times New Roman"/>
          <w:color w:val="000000" w:themeColor="text1"/>
          <w:sz w:val="32"/>
          <w:szCs w:val="20"/>
          <w14:textFill>
            <w14:solidFill>
              <w14:schemeClr w14:val="tx1"/>
            </w14:solidFill>
          </w14:textFill>
        </w:rPr>
        <w:t>2024</w:t>
      </w:r>
      <w:r>
        <w:rPr>
          <w:rFonts w:ascii="Times New Roman" w:eastAsia="方正仿宋_GBK" w:cs="Times New Roman"/>
          <w:color w:val="000000" w:themeColor="text1"/>
          <w:sz w:val="32"/>
          <w:szCs w:val="20"/>
          <w14:textFill>
            <w14:solidFill>
              <w14:schemeClr w14:val="tx1"/>
            </w14:solidFill>
          </w14:textFill>
        </w:rPr>
        <w:t>年无使用政府性基金预算拨款安排的支出。</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四、“三公”经费情况说明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本单位</w:t>
      </w:r>
      <w:r>
        <w:rPr>
          <w:rFonts w:ascii="Times New Roman" w:hAnsi="Times New Roman" w:eastAsia="方正仿宋_GBK" w:cs="Times New Roman"/>
          <w:color w:val="000000" w:themeColor="text1"/>
          <w:sz w:val="32"/>
          <w:szCs w:val="20"/>
          <w14:textFill>
            <w14:solidFill>
              <w14:schemeClr w14:val="tx1"/>
            </w14:solidFill>
          </w14:textFill>
        </w:rPr>
        <w:t>202</w:t>
      </w:r>
      <w:r>
        <w:rPr>
          <w:rFonts w:hint="eastAsia" w:ascii="Times New Roman" w:hAnsi="Times New Roman" w:eastAsia="方正仿宋_GBK" w:cs="Times New Roman"/>
          <w:color w:val="000000" w:themeColor="text1"/>
          <w:sz w:val="32"/>
          <w:szCs w:val="20"/>
          <w14:textFill>
            <w14:solidFill>
              <w14:schemeClr w14:val="tx1"/>
            </w14:solidFill>
          </w14:textFill>
        </w:rPr>
        <w:t>4</w:t>
      </w:r>
      <w:r>
        <w:rPr>
          <w:rFonts w:ascii="Times New Roman" w:hAnsi="Times New Roman" w:eastAsia="方正仿宋_GBK" w:cs="Times New Roman"/>
          <w:color w:val="000000" w:themeColor="text1"/>
          <w:sz w:val="32"/>
          <w:szCs w:val="20"/>
          <w14:textFill>
            <w14:solidFill>
              <w14:schemeClr w14:val="tx1"/>
            </w14:solidFill>
          </w14:textFill>
        </w:rPr>
        <w:t>年未预算“三公”经费。</w:t>
      </w: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五、其他重要事项的情况说明</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（一）机关运行经费。</w:t>
      </w: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2024年一般公共预算财政拨款运行经费25.48万元，比上年增加</w:t>
      </w:r>
      <w:r>
        <w:rPr>
          <w:rFonts w:hint="eastAsia" w:ascii="Times New Roman" w:hAnsi="Times New Roman" w:eastAsia="方正仿宋_GBK" w:cs="Times New Roman"/>
          <w:color w:val="000000" w:themeColor="text1"/>
          <w:sz w:val="32"/>
          <w:szCs w:val="20"/>
          <w14:textFill>
            <w14:solidFill>
              <w14:schemeClr w14:val="tx1"/>
            </w14:solidFill>
          </w14:textFill>
        </w:rPr>
        <w:t>1.02</w:t>
      </w:r>
      <w:r>
        <w:rPr>
          <w:rFonts w:ascii="Times New Roman" w:hAnsi="Times New Roman" w:eastAsia="方正仿宋_GBK" w:cs="Times New Roman"/>
          <w:color w:val="000000" w:themeColor="text1"/>
          <w:sz w:val="32"/>
          <w:szCs w:val="20"/>
          <w14:textFill>
            <w14:solidFill>
              <w14:schemeClr w14:val="tx1"/>
            </w14:solidFill>
          </w14:textFill>
        </w:rPr>
        <w:t>万元</w:t>
      </w:r>
      <w:r>
        <w:rPr>
          <w:rFonts w:hint="eastAsia" w:ascii="Times New Roman" w:hAnsi="Times New Roman" w:eastAsia="方正仿宋_GBK" w:cs="Times New Roman"/>
          <w:color w:val="000000" w:themeColor="text1"/>
          <w:sz w:val="32"/>
          <w:szCs w:val="20"/>
          <w14:textFill>
            <w14:solidFill>
              <w14:schemeClr w14:val="tx1"/>
            </w14:solidFill>
          </w14:textFill>
        </w:rPr>
        <w:t>。</w:t>
      </w:r>
      <w:r>
        <w:rPr>
          <w:rFonts w:ascii="Times New Roman" w:hAnsi="Times New Roman" w:eastAsia="方正仿宋_GBK" w:cs="Times New Roman"/>
          <w:color w:val="000000" w:themeColor="text1"/>
          <w:sz w:val="32"/>
          <w:szCs w:val="20"/>
          <w14:textFill>
            <w14:solidFill>
              <w14:schemeClr w14:val="tx1"/>
            </w14:solidFill>
          </w14:textFill>
        </w:rPr>
        <w:t>主要用于办公费、印刷费、邮电费、水电费、物管费、差旅费、会议费、培训费及其他商品和服务支出等。</w:t>
      </w:r>
    </w:p>
    <w:p>
      <w:pPr>
        <w:ind w:firstLine="642" w:firstLineChars="200"/>
        <w:rPr>
          <w:rFonts w:eastAsia="方正仿宋_GBK"/>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（二）政府采购情况。</w:t>
      </w:r>
      <w:r>
        <w:rPr>
          <w:rFonts w:eastAsia="方正仿宋_GBK"/>
          <w:color w:val="000000" w:themeColor="text1"/>
          <w:sz w:val="32"/>
          <w:szCs w:val="20"/>
          <w14:textFill>
            <w14:solidFill>
              <w14:schemeClr w14:val="tx1"/>
            </w14:solidFill>
          </w14:textFill>
        </w:rPr>
        <w:t>本单位未编列政府采购预算。</w:t>
      </w:r>
    </w:p>
    <w:p>
      <w:pPr>
        <w:spacing w:line="600" w:lineRule="exact"/>
        <w:ind w:firstLine="642" w:firstLineChars="200"/>
        <w:rPr>
          <w:rFonts w:eastAsia="方正仿宋_GBK"/>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（三）绩效目标设置情况。</w:t>
      </w:r>
      <w:r>
        <w:rPr>
          <w:rFonts w:eastAsia="方正仿宋_GBK"/>
          <w:color w:val="000000" w:themeColor="text1"/>
          <w:sz w:val="32"/>
          <w:szCs w:val="20"/>
          <w14:textFill>
            <w14:solidFill>
              <w14:schemeClr w14:val="tx1"/>
            </w14:solidFill>
          </w14:textFill>
        </w:rPr>
        <w:t>202</w:t>
      </w:r>
      <w:r>
        <w:rPr>
          <w:rFonts w:hint="eastAsia" w:eastAsia="方正仿宋_GBK"/>
          <w:color w:val="000000" w:themeColor="text1"/>
          <w:sz w:val="32"/>
          <w:szCs w:val="20"/>
          <w14:textFill>
            <w14:solidFill>
              <w14:schemeClr w14:val="tx1"/>
            </w14:solidFill>
          </w14:textFill>
        </w:rPr>
        <w:t>4</w:t>
      </w:r>
      <w:r>
        <w:rPr>
          <w:rFonts w:eastAsia="方正仿宋_GBK"/>
          <w:color w:val="000000" w:themeColor="text1"/>
          <w:sz w:val="32"/>
          <w:szCs w:val="20"/>
          <w14:textFill>
            <w14:solidFill>
              <w14:schemeClr w14:val="tx1"/>
            </w14:solidFill>
          </w14:textFill>
        </w:rPr>
        <w:t>年项目支出均实行了绩效目标管理，涉及一般公共预算当年财政拨款</w:t>
      </w:r>
      <w:r>
        <w:rPr>
          <w:rFonts w:ascii="Times New Roman" w:hAnsi="Times New Roman" w:eastAsia="方正仿宋_GBK" w:cs="Times New Roman"/>
          <w:color w:val="000000" w:themeColor="text1"/>
          <w:sz w:val="32"/>
          <w:szCs w:val="20"/>
          <w14:textFill>
            <w14:solidFill>
              <w14:schemeClr w14:val="tx1"/>
            </w14:solidFill>
          </w14:textFill>
        </w:rPr>
        <w:t>125.61</w:t>
      </w:r>
      <w:r>
        <w:rPr>
          <w:rFonts w:eastAsia="方正仿宋_GBK"/>
          <w:color w:val="000000" w:themeColor="text1"/>
          <w:sz w:val="32"/>
          <w:szCs w:val="20"/>
          <w14:textFill>
            <w14:solidFill>
              <w14:schemeClr w14:val="tx1"/>
            </w14:solidFill>
          </w14:textFill>
        </w:rPr>
        <w:t>万元。</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（四）国有资产占有使用情况。</w:t>
      </w:r>
      <w:r>
        <w:rPr>
          <w:rFonts w:hint="eastAsia" w:ascii="Times New Roman" w:hAnsi="Times New Roman" w:eastAsia="方正仿宋_GBK" w:cs="Times New Roman"/>
          <w:color w:val="000000" w:themeColor="text1"/>
          <w:sz w:val="32"/>
          <w:szCs w:val="20"/>
          <w:lang w:eastAsia="zh-CN"/>
          <w14:textFill>
            <w14:solidFill>
              <w14:schemeClr w14:val="tx1"/>
            </w14:solidFill>
          </w14:textFill>
        </w:rPr>
        <w:t>截至</w:t>
      </w:r>
      <w:r>
        <w:rPr>
          <w:rFonts w:ascii="Times New Roman" w:hAnsi="Times New Roman" w:eastAsia="方正仿宋_GBK" w:cs="Times New Roman"/>
          <w:color w:val="000000" w:themeColor="text1"/>
          <w:sz w:val="32"/>
          <w:szCs w:val="20"/>
          <w14:textFill>
            <w14:solidFill>
              <w14:schemeClr w14:val="tx1"/>
            </w14:solidFill>
          </w14:textFill>
        </w:rPr>
        <w:t>2023年12月，本单位共有车辆</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辆，其中一般公务用车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辆、执勤执法用车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辆。2024年一般公共预算安排购置车辆</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辆，其中一般公务用车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辆、执勤执法用车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w:t>
      </w: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六、专业性名词解释</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（一）财政拨款收入：</w:t>
      </w:r>
      <w:r>
        <w:rPr>
          <w:rFonts w:ascii="Times New Roman" w:hAnsi="Times New Roman" w:eastAsia="方正仿宋_GBK" w:cs="Times New Roman"/>
          <w:color w:val="000000" w:themeColor="text1"/>
          <w:sz w:val="32"/>
          <w:szCs w:val="32"/>
          <w14:textFill>
            <w14:solidFill>
              <w14:schemeClr w14:val="tx1"/>
            </w14:solidFill>
          </w14:textFill>
        </w:rPr>
        <w:t>指本年度从本级财政部门取得的财政拨款，包括一般公共预算财政拨款和政府性基金预算财政拨款。</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（二）其他收入：</w:t>
      </w:r>
      <w:r>
        <w:rPr>
          <w:rFonts w:ascii="Times New Roman" w:hAnsi="Times New Roman" w:eastAsia="方正仿宋_GBK" w:cs="Times New Roman"/>
          <w:color w:val="000000" w:themeColor="text1"/>
          <w:sz w:val="32"/>
          <w:szCs w:val="32"/>
          <w14:textFill>
            <w14:solidFill>
              <w14:schemeClr w14:val="tx1"/>
            </w14:solidFill>
          </w14:textFill>
        </w:rPr>
        <w:t>指单位取得的除“财政拨款收入”、“事业收入”、“经营收入”等以外的收入。</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（三）基本支出：</w:t>
      </w:r>
      <w:r>
        <w:rPr>
          <w:rFonts w:ascii="Times New Roman" w:hAnsi="Times New Roman" w:eastAsia="方正仿宋_GBK" w:cs="Times New Roman"/>
          <w:color w:val="000000" w:themeColor="text1"/>
          <w:sz w:val="32"/>
          <w:szCs w:val="32"/>
          <w14:textFill>
            <w14:solidFill>
              <w14:schemeClr w14:val="tx1"/>
            </w14:solidFill>
          </w14:textFill>
        </w:rPr>
        <w:t>指为保障机构正常运转、完成日常工作任务而发生的人员经费和公用经费。</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（四）项目支出：</w:t>
      </w:r>
      <w:r>
        <w:rPr>
          <w:rFonts w:ascii="Times New Roman" w:hAnsi="Times New Roman" w:eastAsia="方正仿宋_GBK" w:cs="Times New Roman"/>
          <w:color w:val="000000" w:themeColor="text1"/>
          <w:sz w:val="32"/>
          <w:szCs w:val="32"/>
          <w14:textFill>
            <w14:solidFill>
              <w14:schemeClr w14:val="tx1"/>
            </w14:solidFill>
          </w14:textFill>
        </w:rPr>
        <w:t>指在基本支出之外为完成特定行政任务和事业发展目标所发生的支出。</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（五）“三公”经费：</w:t>
      </w:r>
      <w:r>
        <w:rPr>
          <w:rFonts w:ascii="Times New Roman" w:hAnsi="Times New Roman" w:eastAsia="方正仿宋_GBK" w:cs="Times New Roman"/>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tabs>
          <w:tab w:val="center" w:pos="4153"/>
          <w:tab w:val="left" w:pos="7275"/>
        </w:tabs>
        <w:spacing w:line="600" w:lineRule="exact"/>
        <w:jc w:val="left"/>
        <w:rPr>
          <w:rFonts w:hint="eastAsia" w:eastAsia="方正仿宋_GBK"/>
          <w:color w:val="000000" w:themeColor="text1"/>
          <w:sz w:val="32"/>
          <w:szCs w:val="32"/>
          <w:lang w:eastAsia="zh-CN"/>
          <w14:textFill>
            <w14:solidFill>
              <w14:schemeClr w14:val="tx1"/>
            </w14:solidFill>
          </w14:textFill>
        </w:rPr>
      </w:pPr>
    </w:p>
    <w:p>
      <w:pPr>
        <w:tabs>
          <w:tab w:val="center" w:pos="4153"/>
          <w:tab w:val="left" w:pos="7275"/>
        </w:tabs>
        <w:spacing w:line="600" w:lineRule="exact"/>
        <w:jc w:val="lef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部门预算公开联系人：罗春艳</w:t>
      </w:r>
      <w:r>
        <w:rPr>
          <w:rFonts w:hint="eastAsia" w:eastAsia="方正仿宋_GBK"/>
          <w:color w:val="000000" w:themeColor="text1"/>
          <w:sz w:val="32"/>
          <w:szCs w:val="32"/>
          <w:lang w:eastAsia="zh-CN"/>
          <w14:textFill>
            <w14:solidFill>
              <w14:schemeClr w14:val="tx1"/>
            </w14:solidFill>
          </w14:textFill>
        </w:rPr>
        <w:t>，联系方式</w:t>
      </w:r>
      <w:r>
        <w:rPr>
          <w:rFonts w:eastAsia="方正仿宋_GBK"/>
          <w:color w:val="000000" w:themeColor="text1"/>
          <w:sz w:val="32"/>
          <w:szCs w:val="32"/>
          <w14:textFill>
            <w14:solidFill>
              <w14:schemeClr w14:val="tx1"/>
            </w14:solidFill>
          </w14:textFill>
        </w:rPr>
        <w:t>：023-616917</w:t>
      </w:r>
      <w:r>
        <w:rPr>
          <w:rFonts w:hint="eastAsia" w:eastAsia="方正仿宋_GBK"/>
          <w:color w:val="000000" w:themeColor="text1"/>
          <w:sz w:val="32"/>
          <w:szCs w:val="32"/>
          <w14:textFill>
            <w14:solidFill>
              <w14:schemeClr w14:val="tx1"/>
            </w14:solidFill>
          </w14:textFill>
        </w:rPr>
        <w:t>00</w:t>
      </w:r>
      <w:r>
        <w:rPr>
          <w:rFonts w:eastAsia="方正仿宋_GBK"/>
          <w:color w:val="000000" w:themeColor="text1"/>
          <w:sz w:val="32"/>
          <w:szCs w:val="32"/>
          <w14:textFill>
            <w14:solidFill>
              <w14:schemeClr w14:val="tx1"/>
            </w14:solidFill>
          </w14:textFill>
        </w:rPr>
        <w:t>）</w:t>
      </w:r>
    </w:p>
    <w:p>
      <w:pPr>
        <w:rPr>
          <w:rFonts w:ascii="Times New Roman" w:hAnsi="Times New Roman" w:cs="Times New Roman"/>
          <w:color w:val="000000" w:themeColor="text1"/>
          <w14:textFill>
            <w14:solidFill>
              <w14:schemeClr w14:val="tx1"/>
            </w14:solidFill>
          </w14:textFill>
        </w:rPr>
      </w:pPr>
    </w:p>
    <w:bookmarkEnd w:id="0"/>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华文中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3"/>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3"/>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2AD9"/>
    <w:rsid w:val="000A5A9C"/>
    <w:rsid w:val="001125E6"/>
    <w:rsid w:val="003D751E"/>
    <w:rsid w:val="003F2B60"/>
    <w:rsid w:val="004E727A"/>
    <w:rsid w:val="004F0A51"/>
    <w:rsid w:val="00AD5515"/>
    <w:rsid w:val="00C008A8"/>
    <w:rsid w:val="00C15A9A"/>
    <w:rsid w:val="00C86FE6"/>
    <w:rsid w:val="00CC2AD9"/>
    <w:rsid w:val="00D668D1"/>
    <w:rsid w:val="00EC3792"/>
    <w:rsid w:val="3C2D0F19"/>
    <w:rsid w:val="73FEA16D"/>
    <w:rsid w:val="D9EF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sz w:val="18"/>
      <w:szCs w:val="18"/>
    </w:rPr>
  </w:style>
  <w:style w:type="character" w:customStyle="1" w:styleId="8">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207</Words>
  <Characters>1181</Characters>
  <Lines>9</Lines>
  <Paragraphs>2</Paragraphs>
  <TotalTime>158</TotalTime>
  <ScaleCrop>false</ScaleCrop>
  <LinksUpToDate>false</LinksUpToDate>
  <CharactersWithSpaces>1386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2024-04-08T00:10:00Z</dcterms:created>
  <dc:creator>Administrator</dc:creator>
  <cp:lastModifiedBy>uos</cp:lastModifiedBy>
  <dcterms:modified xsi:type="dcterms:W3CDTF">2024-05-10T09:05:40Z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