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94E3F">
      <w:pPr>
        <w:spacing w:line="600" w:lineRule="exact"/>
        <w:jc w:val="center"/>
        <w:rPr>
          <w:rFonts w:eastAsia="方正小标宋_GBK"/>
          <w:sz w:val="44"/>
          <w:szCs w:val="44"/>
        </w:rPr>
      </w:pPr>
      <w:r>
        <w:rPr>
          <w:rFonts w:eastAsia="方正小标宋_GBK"/>
          <w:sz w:val="44"/>
          <w:szCs w:val="44"/>
        </w:rPr>
        <w:t>白市驿镇人民政府（本级）</w:t>
      </w:r>
    </w:p>
    <w:p w14:paraId="06D3A258">
      <w:pPr>
        <w:spacing w:line="600" w:lineRule="exact"/>
        <w:jc w:val="center"/>
        <w:rPr>
          <w:rFonts w:hint="eastAsia" w:eastAsia="方正小标宋_GBK"/>
          <w:color w:val="0D0D0D"/>
          <w:sz w:val="44"/>
          <w:szCs w:val="44"/>
        </w:rPr>
      </w:pPr>
      <w:r>
        <w:rPr>
          <w:rFonts w:eastAsia="方正小标宋_GBK"/>
          <w:color w:val="0D0D0D"/>
          <w:sz w:val="44"/>
          <w:szCs w:val="44"/>
        </w:rPr>
        <w:t>2026年预算情况说明</w:t>
      </w:r>
    </w:p>
    <w:p w14:paraId="6BBF4B06">
      <w:pPr>
        <w:spacing w:line="600" w:lineRule="exact"/>
        <w:jc w:val="center"/>
        <w:rPr>
          <w:rFonts w:eastAsia="方正小标宋_GBK"/>
          <w:color w:val="0D0D0D"/>
          <w:sz w:val="44"/>
          <w:szCs w:val="44"/>
        </w:rPr>
      </w:pPr>
    </w:p>
    <w:p w14:paraId="19AD2C02">
      <w:pPr>
        <w:adjustRightInd w:val="0"/>
        <w:snapToGrid w:val="0"/>
        <w:spacing w:line="600" w:lineRule="exact"/>
        <w:ind w:left="640"/>
        <w:rPr>
          <w:rFonts w:eastAsia="方正黑体_GBK"/>
          <w:color w:val="0D0D0D"/>
        </w:rPr>
      </w:pPr>
      <w:r>
        <w:rPr>
          <w:rFonts w:eastAsia="方正黑体_GBK"/>
          <w:color w:val="0D0D0D"/>
        </w:rPr>
        <w:t>一、单位基本情况</w:t>
      </w:r>
    </w:p>
    <w:p w14:paraId="14D87980">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592BDA16">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rPr>
        <w:t>贯彻执行党和国家的路线、方针、政策、法律、法规；执行上级党组织的决</w:t>
      </w:r>
      <w:bookmarkStart w:id="0" w:name="_GoBack"/>
      <w:bookmarkEnd w:id="0"/>
      <w:r>
        <w:rPr>
          <w:rFonts w:hint="eastAsia" w:ascii="方正仿宋_GBK" w:hAnsi="仿宋_GB2312" w:cs="仿宋_GB2312"/>
        </w:rPr>
        <w:t>议、决定，执行镇人民代表大会的各项决议。制定并实施镇经济和社会发展规划、年度计划和预算；抓好本辖区内经济和社会发展的各项工作，并向本级人民代表大会报告工作。管理本辖区内的经济、教育、科学、文化、体育、规划建设、生态环境、财政、民政、信访、司法、卫生健康、社会治安、安全生产、综合治理、交通安全、社会保障等工作。加强镇财政的监督和管理，按计划、预算管理镇财政收入和支出，执行国家财政、财税工作的法律、政策，保证国家财政收入的完成。指导、支持村（社区）工作，帮助其进行组织、制度和业务建设，促进村（社区）民主自治。承办管委会交办的其他工作。</w:t>
      </w:r>
    </w:p>
    <w:p w14:paraId="244BF7F3">
      <w:pPr>
        <w:pStyle w:val="9"/>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17FF2583">
      <w:pPr>
        <w:spacing w:line="600" w:lineRule="exact"/>
        <w:ind w:firstLine="640" w:firstLineChars="200"/>
        <w:rPr>
          <w:color w:val="0D0D0D"/>
        </w:rPr>
      </w:pPr>
      <w:r>
        <w:rPr>
          <w:szCs w:val="22"/>
        </w:rPr>
        <w:t>本单位设置</w:t>
      </w:r>
      <w:r>
        <w:t>综合办事机构</w:t>
      </w:r>
      <w:r>
        <w:rPr>
          <w:rFonts w:hint="eastAsia"/>
        </w:rPr>
        <w:t>5</w:t>
      </w:r>
      <w:r>
        <w:t>个：</w:t>
      </w:r>
      <w:r>
        <w:rPr>
          <w:rFonts w:hint="eastAsia"/>
        </w:rPr>
        <w:t>基层治理综合指挥室、党的建设办公室、经济发展办公室、民生服务办公室、平安法治办公室</w:t>
      </w:r>
      <w:r>
        <w:t>。</w:t>
      </w:r>
    </w:p>
    <w:p w14:paraId="7D995CFC">
      <w:pPr>
        <w:adjustRightInd w:val="0"/>
        <w:snapToGrid w:val="0"/>
        <w:spacing w:line="600" w:lineRule="exact"/>
        <w:ind w:left="640"/>
        <w:rPr>
          <w:color w:val="0D0D0D"/>
        </w:rPr>
      </w:pPr>
      <w:r>
        <w:rPr>
          <w:rFonts w:eastAsia="方正黑体_GBK"/>
          <w:color w:val="0D0D0D"/>
        </w:rPr>
        <w:t>二、</w:t>
      </w:r>
      <w:r>
        <w:rPr>
          <w:rFonts w:hint="eastAsia" w:eastAsia="方正黑体_GBK"/>
          <w:color w:val="0D0D0D"/>
        </w:rPr>
        <w:t>单位</w:t>
      </w:r>
      <w:r>
        <w:rPr>
          <w:rFonts w:eastAsia="方正黑体_GBK"/>
          <w:color w:val="0D0D0D"/>
        </w:rPr>
        <w:t>收支总体情况</w:t>
      </w:r>
    </w:p>
    <w:p w14:paraId="40A4FBE8">
      <w:pPr>
        <w:adjustRightInd w:val="0"/>
        <w:snapToGrid w:val="0"/>
        <w:spacing w:line="600" w:lineRule="exact"/>
        <w:ind w:firstLine="640" w:firstLineChars="200"/>
        <w:rPr>
          <w:color w:val="0D0D0D"/>
        </w:rPr>
      </w:pPr>
      <w:r>
        <w:rPr>
          <w:color w:val="0D0D0D"/>
        </w:rPr>
        <w:t>（一）收入预算：2026年年初预算数5574.47万元，其中：一般公共预算拨款5574.47万元，政府性基金预算拨款0万元，国有资本经营预算收入0万元，事业收入0万元，事业单位经营收入0万元，其他收入0万元。收入较2025年</w:t>
      </w:r>
      <w:r>
        <w:rPr>
          <w:rFonts w:hint="eastAsia"/>
          <w:color w:val="0D0D0D"/>
        </w:rPr>
        <w:t>增加65.43</w:t>
      </w:r>
      <w:r>
        <w:rPr>
          <w:color w:val="0D0D0D"/>
        </w:rPr>
        <w:t>万元，主要是</w:t>
      </w:r>
      <w:r>
        <w:rPr>
          <w:rFonts w:hint="eastAsia"/>
        </w:rPr>
        <w:t>2026年土地流转金纳入预算、村社区干部人员调整</w:t>
      </w:r>
      <w:r>
        <w:rPr>
          <w:color w:val="0D0D0D"/>
        </w:rPr>
        <w:t>。</w:t>
      </w:r>
    </w:p>
    <w:p w14:paraId="283CCD8D">
      <w:pPr>
        <w:adjustRightInd w:val="0"/>
        <w:snapToGrid w:val="0"/>
        <w:spacing w:line="600" w:lineRule="exact"/>
        <w:ind w:firstLine="640" w:firstLineChars="200"/>
        <w:rPr>
          <w:color w:val="0D0D0D"/>
        </w:rPr>
      </w:pPr>
      <w:r>
        <w:rPr>
          <w:color w:val="0D0D0D"/>
        </w:rPr>
        <w:t>（二）支出预算：2026年年初预算数5574.47万元，其中：</w:t>
      </w:r>
      <w:r>
        <w:t>一般公共服务支出预算</w:t>
      </w:r>
      <w:r>
        <w:rPr>
          <w:rFonts w:hint="eastAsia"/>
        </w:rPr>
        <w:t>2762.46</w:t>
      </w:r>
      <w:r>
        <w:t>万元，</w:t>
      </w:r>
      <w:r>
        <w:rPr>
          <w:rFonts w:hint="eastAsia"/>
        </w:rPr>
        <w:t>国防支出预算17.08</w:t>
      </w:r>
      <w:r>
        <w:t>万元，社会保障和就业支出预算</w:t>
      </w:r>
      <w:r>
        <w:rPr>
          <w:rFonts w:hint="eastAsia"/>
        </w:rPr>
        <w:t>333.58</w:t>
      </w:r>
      <w:r>
        <w:t>万元，卫生健康支出预算</w:t>
      </w:r>
      <w:r>
        <w:rPr>
          <w:rFonts w:hint="eastAsia"/>
        </w:rPr>
        <w:t>280.63</w:t>
      </w:r>
      <w:r>
        <w:t>万元，城乡社区支出预算</w:t>
      </w:r>
      <w:r>
        <w:rPr>
          <w:rFonts w:hint="eastAsia"/>
        </w:rPr>
        <w:t>1075.34</w:t>
      </w:r>
      <w:r>
        <w:t>万元，</w:t>
      </w:r>
      <w:r>
        <w:rPr>
          <w:rFonts w:hint="eastAsia"/>
        </w:rPr>
        <w:t>农林水支出预算990.76万元，</w:t>
      </w:r>
      <w:r>
        <w:t>住房保障支出预算</w:t>
      </w:r>
      <w:r>
        <w:rPr>
          <w:rFonts w:hint="eastAsia"/>
        </w:rPr>
        <w:t>114.62</w:t>
      </w:r>
      <w:r>
        <w:t>万元。支出预算较202</w:t>
      </w:r>
      <w:r>
        <w:rPr>
          <w:rFonts w:hint="eastAsia"/>
        </w:rPr>
        <w:t>5</w:t>
      </w:r>
      <w:r>
        <w:t>年</w:t>
      </w:r>
      <w:r>
        <w:rPr>
          <w:rFonts w:hint="eastAsia"/>
        </w:rPr>
        <w:t>增加</w:t>
      </w:r>
      <w:r>
        <w:rPr>
          <w:rFonts w:hint="eastAsia"/>
          <w:color w:val="0D0D0D"/>
        </w:rPr>
        <w:t>65.43</w:t>
      </w:r>
      <w:r>
        <w:t>万元，主要是基本支出预算</w:t>
      </w:r>
      <w:r>
        <w:rPr>
          <w:rFonts w:hint="eastAsia"/>
        </w:rPr>
        <w:t>减少184.89</w:t>
      </w:r>
      <w:r>
        <w:t>万元，项目支出预算增加</w:t>
      </w:r>
      <w:r>
        <w:rPr>
          <w:rFonts w:hint="eastAsia"/>
        </w:rPr>
        <w:t>250.32</w:t>
      </w:r>
      <w:r>
        <w:t>万元</w:t>
      </w:r>
      <w:r>
        <w:rPr>
          <w:color w:val="0D0D0D"/>
        </w:rPr>
        <w:t>。</w:t>
      </w:r>
    </w:p>
    <w:p w14:paraId="423A4ABC">
      <w:pPr>
        <w:adjustRightInd w:val="0"/>
        <w:snapToGrid w:val="0"/>
        <w:spacing w:line="600" w:lineRule="exact"/>
        <w:ind w:left="640"/>
        <w:rPr>
          <w:rFonts w:eastAsia="方正黑体_GBK"/>
          <w:color w:val="0D0D0D"/>
        </w:rPr>
      </w:pPr>
      <w:r>
        <w:rPr>
          <w:rFonts w:eastAsia="方正黑体_GBK"/>
          <w:color w:val="0D0D0D"/>
        </w:rPr>
        <w:t>三、</w:t>
      </w:r>
      <w:r>
        <w:rPr>
          <w:rFonts w:hint="eastAsia" w:eastAsia="方正黑体_GBK"/>
          <w:color w:val="0D0D0D"/>
        </w:rPr>
        <w:t>单位</w:t>
      </w:r>
      <w:r>
        <w:rPr>
          <w:rFonts w:eastAsia="方正黑体_GBK"/>
          <w:color w:val="0D0D0D"/>
        </w:rPr>
        <w:t>预算情况说明</w:t>
      </w:r>
    </w:p>
    <w:p w14:paraId="5998745A">
      <w:pPr>
        <w:adjustRightInd w:val="0"/>
        <w:snapToGrid w:val="0"/>
        <w:spacing w:line="600" w:lineRule="exact"/>
        <w:ind w:firstLine="640" w:firstLineChars="200"/>
        <w:rPr>
          <w:color w:val="0D0D0D"/>
        </w:rPr>
      </w:pPr>
      <w:r>
        <w:rPr>
          <w:color w:val="0D0D0D"/>
        </w:rPr>
        <w:t>2026年一般公共预算财政拨款收入5574.47万元，一般公共预算财政拨款支出5574.47万元，比2025年</w:t>
      </w:r>
      <w:r>
        <w:rPr>
          <w:rFonts w:hint="eastAsia"/>
          <w:color w:val="0D0D0D"/>
        </w:rPr>
        <w:t>增加65.43</w:t>
      </w:r>
      <w:r>
        <w:rPr>
          <w:color w:val="0D0D0D"/>
        </w:rPr>
        <w:t>万元。其中：基本支出1321.68万元，比2025年</w:t>
      </w:r>
      <w:r>
        <w:rPr>
          <w:rFonts w:hint="eastAsia"/>
        </w:rPr>
        <w:t>减少184.89</w:t>
      </w:r>
      <w:r>
        <w:rPr>
          <w:color w:val="0D0D0D"/>
        </w:rPr>
        <w:t>万元，</w:t>
      </w:r>
      <w:r>
        <w:t>主要原因</w:t>
      </w:r>
      <w:r>
        <w:rPr>
          <w:rFonts w:hint="eastAsia"/>
        </w:rPr>
        <w:t>是</w:t>
      </w:r>
      <w:r>
        <w:rPr>
          <w:color w:val="0D0D0D"/>
        </w:rPr>
        <w:t>人员</w:t>
      </w:r>
      <w:r>
        <w:rPr>
          <w:rFonts w:hint="eastAsia"/>
          <w:color w:val="0D0D0D"/>
        </w:rPr>
        <w:t>减少</w:t>
      </w:r>
      <w:r>
        <w:rPr>
          <w:color w:val="0D0D0D"/>
        </w:rPr>
        <w:t>，人员经费及配套公用经费相应</w:t>
      </w:r>
      <w:r>
        <w:rPr>
          <w:rFonts w:hint="eastAsia"/>
          <w:color w:val="0D0D0D"/>
        </w:rPr>
        <w:t>减少</w:t>
      </w:r>
      <w:r>
        <w:t>，主要用于保障在职人员工资福利及社会保险缴费，</w:t>
      </w:r>
      <w:r>
        <w:rPr>
          <w:rFonts w:hint="eastAsia" w:ascii="方正仿宋_GBK" w:hAnsi="仿宋_GB2312" w:cs="仿宋_GB2312"/>
          <w:color w:val="0D0D0D"/>
        </w:rPr>
        <w:t>退休人员补助等，</w:t>
      </w:r>
      <w:r>
        <w:t>保障单位正常运转的各项商品服务支出；</w:t>
      </w:r>
      <w:r>
        <w:rPr>
          <w:color w:val="0D0D0D"/>
        </w:rPr>
        <w:t>项目支出4252.79万元，</w:t>
      </w:r>
      <w:r>
        <w:rPr>
          <w:rFonts w:hint="eastAsia"/>
          <w:color w:val="0D0D0D"/>
        </w:rPr>
        <w:t>比</w:t>
      </w:r>
      <w:r>
        <w:rPr>
          <w:color w:val="0D0D0D"/>
        </w:rPr>
        <w:t>2025年</w:t>
      </w:r>
      <w:r>
        <w:t>增加</w:t>
      </w:r>
      <w:r>
        <w:rPr>
          <w:rFonts w:hint="eastAsia"/>
        </w:rPr>
        <w:t>250.32</w:t>
      </w:r>
      <w:r>
        <w:t>万元</w:t>
      </w:r>
      <w:r>
        <w:rPr>
          <w:rFonts w:hint="eastAsia"/>
        </w:rPr>
        <w:t>，</w:t>
      </w:r>
      <w:r>
        <w:t>主要原因是</w:t>
      </w:r>
      <w:r>
        <w:rPr>
          <w:rFonts w:hint="eastAsia"/>
        </w:rPr>
        <w:t>2026年土地流转金纳入预算、村社区干部人员调整，</w:t>
      </w:r>
      <w:r>
        <w:t>主要用于</w:t>
      </w:r>
      <w:r>
        <w:rPr>
          <w:color w:val="000000"/>
        </w:rPr>
        <w:t>村社区履职专项经费</w:t>
      </w:r>
      <w:r>
        <w:rPr>
          <w:rFonts w:hint="eastAsia"/>
          <w:color w:val="000000"/>
        </w:rPr>
        <w:t>、计生扶持与奖励、镇街安全巡防、聘用人员专项</w:t>
      </w:r>
      <w:r>
        <w:rPr>
          <w:color w:val="000000"/>
        </w:rPr>
        <w:t>等经费保障</w:t>
      </w:r>
      <w:r>
        <w:rPr>
          <w:color w:val="0D0D0D"/>
        </w:rPr>
        <w:t>。</w:t>
      </w:r>
    </w:p>
    <w:p w14:paraId="389F3C1E">
      <w:pPr>
        <w:adjustRightInd w:val="0"/>
        <w:snapToGrid w:val="0"/>
        <w:spacing w:line="600" w:lineRule="exact"/>
        <w:ind w:firstLine="640" w:firstLineChars="200"/>
        <w:rPr>
          <w:color w:val="0D0D0D"/>
        </w:rPr>
      </w:pPr>
      <w:r>
        <w:rPr>
          <w:color w:val="000000"/>
        </w:rPr>
        <w:t>白市驿镇人民政府（本级）2026年</w:t>
      </w:r>
      <w:r>
        <w:rPr>
          <w:color w:val="0D0D0D"/>
        </w:rPr>
        <w:t>无使用政府性基金预算拨款安排的支出</w:t>
      </w:r>
      <w:r>
        <w:rPr>
          <w:color w:val="000000"/>
        </w:rPr>
        <w:t>。</w:t>
      </w:r>
    </w:p>
    <w:p w14:paraId="27C04230">
      <w:pPr>
        <w:adjustRightInd w:val="0"/>
        <w:snapToGrid w:val="0"/>
        <w:spacing w:line="600" w:lineRule="exact"/>
        <w:ind w:left="640"/>
        <w:rPr>
          <w:color w:val="0D0D0D"/>
        </w:rPr>
      </w:pPr>
      <w:r>
        <w:rPr>
          <w:rFonts w:eastAsia="方正黑体_GBK"/>
          <w:color w:val="0D0D0D"/>
        </w:rPr>
        <w:t>四、</w:t>
      </w:r>
      <w:r>
        <w:rPr>
          <w:rFonts w:hint="eastAsia" w:ascii="方正黑体_GBK" w:hAnsi="方正黑体_GBK" w:eastAsia="方正黑体_GBK" w:cs="方正黑体_GBK"/>
          <w:color w:val="0D0D0D"/>
        </w:rPr>
        <w:t>“三公”</w:t>
      </w:r>
      <w:r>
        <w:rPr>
          <w:rFonts w:eastAsia="方正黑体_GBK"/>
          <w:color w:val="0D0D0D"/>
        </w:rPr>
        <w:t>经费情况说明</w:t>
      </w:r>
    </w:p>
    <w:p w14:paraId="5BA1011F">
      <w:pPr>
        <w:pStyle w:val="2"/>
        <w:spacing w:line="600" w:lineRule="exact"/>
        <w:ind w:left="0" w:leftChars="0" w:firstLine="640" w:firstLineChars="200"/>
        <w:rPr>
          <w:color w:val="FF0000"/>
          <w:szCs w:val="32"/>
        </w:rPr>
      </w:pPr>
      <w:r>
        <w:rPr>
          <w:color w:val="000000"/>
        </w:rPr>
        <w:t>白市驿镇人民政府（本级）</w:t>
      </w:r>
      <w:r>
        <w:rPr>
          <w:rFonts w:hint="eastAsia"/>
          <w:szCs w:val="32"/>
        </w:rPr>
        <w:t>2026年“三公”经费预算22.5万元，比2025年减少18.1万元。其中，因公出国（境）费用0万元，与2025年持平；公务接待费0万元，比2025年减少0.1万元</w:t>
      </w:r>
      <w:r>
        <w:t>，主要原因是</w:t>
      </w:r>
      <w:r>
        <w:rPr>
          <w:rFonts w:hint="eastAsia"/>
        </w:rPr>
        <w:t>厉行节约，减少公务接待费预算</w:t>
      </w:r>
      <w:r>
        <w:rPr>
          <w:rFonts w:hint="eastAsia"/>
          <w:szCs w:val="32"/>
        </w:rPr>
        <w:t>；公务用车购置费0万元，比2025年减少18万元，</w:t>
      </w:r>
      <w:r>
        <w:t>主要原因是</w:t>
      </w:r>
      <w:r>
        <w:rPr>
          <w:rFonts w:hint="eastAsia"/>
        </w:rPr>
        <w:t>2025年预算购置公务用车1辆，2026年无新购公务用车计划</w:t>
      </w:r>
      <w:r>
        <w:rPr>
          <w:rFonts w:hint="eastAsia"/>
          <w:szCs w:val="32"/>
        </w:rPr>
        <w:t>；公务用车运行费22.5万元，与2025年持平。</w:t>
      </w:r>
    </w:p>
    <w:p w14:paraId="403B781A">
      <w:pPr>
        <w:adjustRightInd w:val="0"/>
        <w:snapToGrid w:val="0"/>
        <w:spacing w:line="600" w:lineRule="exact"/>
        <w:ind w:left="640"/>
        <w:rPr>
          <w:rFonts w:eastAsia="方正黑体_GBK"/>
          <w:color w:val="0D0D0D"/>
        </w:rPr>
      </w:pPr>
      <w:r>
        <w:rPr>
          <w:rFonts w:eastAsia="方正黑体_GBK"/>
          <w:color w:val="0D0D0D"/>
        </w:rPr>
        <w:t>五、其他重要事项的情况说明</w:t>
      </w:r>
    </w:p>
    <w:p w14:paraId="6B68C58D">
      <w:pPr>
        <w:adjustRightInd w:val="0"/>
        <w:snapToGrid w:val="0"/>
        <w:spacing w:line="600" w:lineRule="exact"/>
        <w:ind w:firstLine="640" w:firstLineChars="200"/>
        <w:rPr>
          <w:color w:val="0D0D0D"/>
        </w:rPr>
      </w:pPr>
      <w:r>
        <w:rPr>
          <w:color w:val="0D0D0D"/>
        </w:rPr>
        <w:t>（一）机关运行经费。2026年一般公共预算财政拨款运行经费</w:t>
      </w:r>
      <w:r>
        <w:t>246.41万元，比</w:t>
      </w:r>
      <w:r>
        <w:rPr>
          <w:rFonts w:hint="eastAsia"/>
        </w:rPr>
        <w:t>2025</w:t>
      </w:r>
      <w:r>
        <w:t>年减少</w:t>
      </w:r>
      <w:r>
        <w:rPr>
          <w:rFonts w:hint="eastAsia"/>
        </w:rPr>
        <w:t>54.4</w:t>
      </w:r>
      <w:r>
        <w:rPr>
          <w:color w:val="0D0D0D"/>
        </w:rPr>
        <w:t>万元，主要原因</w:t>
      </w:r>
      <w:r>
        <w:rPr>
          <w:rFonts w:hint="eastAsia"/>
          <w:color w:val="0D0D0D"/>
        </w:rPr>
        <w:t>是</w:t>
      </w:r>
      <w:r>
        <w:rPr>
          <w:color w:val="0D0D0D"/>
        </w:rPr>
        <w:t>厉行节约常态化，缩减日常公用经费支出。主要用于办公费、印刷费、邮电费、水电费、物管费、差旅费、会议费、培训费及其他商品和服务支出等。</w:t>
      </w:r>
    </w:p>
    <w:p w14:paraId="549F8B00">
      <w:pPr>
        <w:adjustRightInd w:val="0"/>
        <w:snapToGrid w:val="0"/>
        <w:spacing w:line="600" w:lineRule="exact"/>
        <w:ind w:firstLine="640" w:firstLineChars="200"/>
        <w:rPr>
          <w:color w:val="0D0D0D"/>
        </w:rPr>
      </w:pPr>
      <w:r>
        <w:rPr>
          <w:color w:val="0D0D0D"/>
        </w:rPr>
        <w:t>（二）政府采购情况。</w:t>
      </w:r>
      <w:r>
        <w:rPr>
          <w:color w:val="000000"/>
        </w:rPr>
        <w:t>白市驿镇人民政府（本级）</w:t>
      </w:r>
      <w:r>
        <w:rPr>
          <w:rFonts w:hint="eastAsia"/>
          <w:color w:val="000000"/>
        </w:rPr>
        <w:t>2026年</w:t>
      </w:r>
      <w:r>
        <w:t>采购预算总额132.66万元，其中，政府采购货物预算</w:t>
      </w:r>
      <w:r>
        <w:rPr>
          <w:rFonts w:hint="eastAsia"/>
        </w:rPr>
        <w:t>0</w:t>
      </w:r>
      <w:r>
        <w:t>万元、政府采购工程预算</w:t>
      </w:r>
      <w:r>
        <w:rPr>
          <w:rFonts w:hint="eastAsia"/>
        </w:rPr>
        <w:t>0</w:t>
      </w:r>
      <w:r>
        <w:t>万元、政府采购服务预算132.66万元；一般公共预算拨款政府采购132.66万元，其中，政府采购货物预算</w:t>
      </w:r>
      <w:r>
        <w:rPr>
          <w:rFonts w:hint="eastAsia"/>
        </w:rPr>
        <w:t>0</w:t>
      </w:r>
      <w:r>
        <w:t>万元、政府采购工程预算</w:t>
      </w:r>
      <w:r>
        <w:rPr>
          <w:rFonts w:hint="eastAsia"/>
        </w:rPr>
        <w:t>0</w:t>
      </w:r>
      <w:r>
        <w:t>万元、政府采购服务预算132.66万元。</w:t>
      </w:r>
    </w:p>
    <w:p w14:paraId="6A847AAD">
      <w:pPr>
        <w:adjustRightInd w:val="0"/>
        <w:snapToGrid w:val="0"/>
        <w:spacing w:line="600" w:lineRule="exact"/>
        <w:ind w:firstLine="640" w:firstLineChars="200"/>
        <w:rPr>
          <w:color w:val="0D0D0D"/>
        </w:rPr>
      </w:pPr>
      <w:r>
        <w:rPr>
          <w:color w:val="0D0D0D"/>
        </w:rPr>
        <w:t>（三）绩效目标设置情况。</w:t>
      </w:r>
      <w:r>
        <w:rPr>
          <w:color w:val="000000"/>
        </w:rPr>
        <w:t>202</w:t>
      </w:r>
      <w:r>
        <w:rPr>
          <w:rFonts w:hint="eastAsia"/>
          <w:color w:val="000000"/>
        </w:rPr>
        <w:t>6</w:t>
      </w:r>
      <w:r>
        <w:rPr>
          <w:color w:val="000000"/>
        </w:rPr>
        <w:t>年项目支出均实行了绩效目标管理，涉及一般公共预算当年财政拨款</w:t>
      </w:r>
      <w:r>
        <w:rPr>
          <w:color w:val="0D0D0D"/>
        </w:rPr>
        <w:t>4252.79</w:t>
      </w:r>
      <w:r>
        <w:rPr>
          <w:color w:val="000000"/>
        </w:rPr>
        <w:t>万元。</w:t>
      </w:r>
    </w:p>
    <w:p w14:paraId="278F7CF3">
      <w:pPr>
        <w:adjustRightInd w:val="0"/>
        <w:snapToGrid w:val="0"/>
        <w:spacing w:line="600" w:lineRule="exact"/>
        <w:ind w:firstLine="640" w:firstLineChars="200"/>
        <w:rPr>
          <w:color w:val="0D0D0D"/>
          <w:highlight w:val="red"/>
        </w:rPr>
      </w:pPr>
      <w:r>
        <w:rPr>
          <w:color w:val="000000"/>
        </w:rPr>
        <w:t>（四）国有资产占有使用情况。</w:t>
      </w:r>
      <w:r>
        <w:rPr>
          <w:rFonts w:hint="eastAsia"/>
          <w:color w:val="0D0D0D"/>
          <w:lang w:eastAsia="zh-CN"/>
        </w:rPr>
        <w:t>截至</w:t>
      </w:r>
      <w:r>
        <w:rPr>
          <w:color w:val="0D0D0D"/>
        </w:rPr>
        <w:t>2025年12月，所属各预算单位共有车辆</w:t>
      </w:r>
      <w:r>
        <w:rPr>
          <w:rFonts w:hint="eastAsia"/>
          <w:color w:val="0D0D0D"/>
        </w:rPr>
        <w:t>6</w:t>
      </w:r>
      <w:r>
        <w:rPr>
          <w:color w:val="0D0D0D"/>
        </w:rPr>
        <w:t>辆，其中</w:t>
      </w:r>
      <w:r>
        <w:rPr>
          <w:rFonts w:hint="eastAsia"/>
          <w:color w:val="0D0D0D"/>
        </w:rPr>
        <w:t>机要通信</w:t>
      </w:r>
      <w:r>
        <w:rPr>
          <w:color w:val="0D0D0D"/>
        </w:rPr>
        <w:t>用车</w:t>
      </w:r>
      <w:r>
        <w:rPr>
          <w:rFonts w:hint="eastAsia"/>
          <w:color w:val="0D0D0D"/>
        </w:rPr>
        <w:t>1</w:t>
      </w:r>
      <w:r>
        <w:rPr>
          <w:color w:val="0D0D0D"/>
        </w:rPr>
        <w:t>辆</w:t>
      </w:r>
      <w:r>
        <w:rPr>
          <w:rFonts w:hint="eastAsia"/>
          <w:color w:val="0D0D0D"/>
        </w:rPr>
        <w:t>、应急保障用车3辆、特种专业技术用车2辆</w:t>
      </w:r>
      <w:r>
        <w:rPr>
          <w:color w:val="0D0D0D"/>
        </w:rPr>
        <w:t>。2026年一般公共预算安排购置车辆0辆</w:t>
      </w:r>
      <w:r>
        <w:rPr>
          <w:rFonts w:hint="eastAsia"/>
          <w:color w:val="0D0D0D"/>
        </w:rPr>
        <w:t>。</w:t>
      </w:r>
    </w:p>
    <w:p w14:paraId="39962363">
      <w:pPr>
        <w:adjustRightInd w:val="0"/>
        <w:snapToGrid w:val="0"/>
        <w:spacing w:line="600" w:lineRule="exact"/>
        <w:ind w:firstLine="640" w:firstLineChars="200"/>
        <w:rPr>
          <w:color w:val="000000"/>
        </w:rPr>
      </w:pPr>
      <w:r>
        <w:rPr>
          <w:color w:val="0D0D0D"/>
        </w:rPr>
        <w:t>（五）委托业务费情况。2026年委托业务费涉及财拨资金</w:t>
      </w:r>
      <w:r>
        <w:rPr>
          <w:rFonts w:hint="eastAsia"/>
          <w:color w:val="0D0D0D"/>
        </w:rPr>
        <w:t>515.38</w:t>
      </w:r>
      <w:r>
        <w:rPr>
          <w:color w:val="0D0D0D"/>
        </w:rPr>
        <w:t>万元</w:t>
      </w:r>
      <w:r>
        <w:t>，</w:t>
      </w:r>
      <w:r>
        <w:rPr>
          <w:color w:val="000000"/>
        </w:rPr>
        <w:t>主要用于政府采购、购买服务等支出。</w:t>
      </w:r>
    </w:p>
    <w:p w14:paraId="65723E46">
      <w:pPr>
        <w:adjustRightInd w:val="0"/>
        <w:snapToGrid w:val="0"/>
        <w:spacing w:line="600" w:lineRule="exact"/>
        <w:ind w:left="640"/>
        <w:rPr>
          <w:rFonts w:eastAsia="方正黑体_GBK"/>
          <w:color w:val="0D0D0D"/>
        </w:rPr>
      </w:pPr>
      <w:r>
        <w:rPr>
          <w:rFonts w:eastAsia="方正黑体_GBK"/>
          <w:color w:val="0D0D0D"/>
        </w:rPr>
        <w:t>六、专业性名词解释</w:t>
      </w:r>
    </w:p>
    <w:p w14:paraId="03CDF1FB">
      <w:pPr>
        <w:pStyle w:val="9"/>
        <w:tabs>
          <w:tab w:val="center" w:pos="4153"/>
          <w:tab w:val="left" w:pos="7275"/>
        </w:tabs>
        <w:adjustRightInd w:val="0"/>
        <w:snapToGrid w:val="0"/>
        <w:spacing w:line="600" w:lineRule="exact"/>
        <w:ind w:firstLine="640"/>
        <w:jc w:val="left"/>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3D2731FB">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1BB88027">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FC4E130">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46A970DD">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5587CB48">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B5CB756">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257A66D5">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1334862">
      <w:pPr>
        <w:adjustRightInd w:val="0"/>
        <w:snapToGrid w:val="0"/>
        <w:spacing w:line="600" w:lineRule="exact"/>
        <w:ind w:firstLine="640" w:firstLineChars="200"/>
        <w:rPr>
          <w:rFonts w:ascii="方正仿宋_GBK" w:hAnsi="方正仿宋_GBK" w:cs="方正仿宋_GBK"/>
          <w:color w:val="0D0D0D"/>
          <w:szCs w:val="32"/>
        </w:rPr>
      </w:pPr>
      <w:r>
        <w:rPr>
          <w:color w:val="0D0D0D"/>
          <w:szCs w:val="32"/>
        </w:rPr>
        <w:t>（九）基本支出：指为保障机构正常运转、完成日常工作任务而发生的人员经费和公用经费。其中：人员经费指政府收支分类经济科目中</w:t>
      </w:r>
      <w:r>
        <w:rPr>
          <w:rFonts w:hint="eastAsia" w:ascii="方正仿宋_GBK" w:hAnsi="方正仿宋_GBK" w:cs="方正仿宋_GBK"/>
          <w:color w:val="0D0D0D"/>
          <w:szCs w:val="32"/>
        </w:rPr>
        <w:t>的“工资福利支出”和“对个人和家庭的补助”；公</w:t>
      </w:r>
      <w:r>
        <w:rPr>
          <w:color w:val="0D0D0D"/>
          <w:szCs w:val="32"/>
        </w:rPr>
        <w:t>用经费指政府收支分类经济科目中除</w:t>
      </w:r>
      <w:r>
        <w:rPr>
          <w:rFonts w:hint="eastAsia" w:ascii="方正仿宋_GBK" w:hAnsi="方正仿宋_GBK" w:cs="方正仿宋_GBK"/>
          <w:color w:val="0D0D0D"/>
          <w:szCs w:val="32"/>
        </w:rPr>
        <w:t>“工资福利支出”和“对个人和家庭的补助”外的其他支出。</w:t>
      </w:r>
    </w:p>
    <w:p w14:paraId="263983E6">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6A086B38">
      <w:pPr>
        <w:adjustRightInd w:val="0"/>
        <w:snapToGrid w:val="0"/>
        <w:spacing w:line="600" w:lineRule="exact"/>
        <w:ind w:firstLine="640" w:firstLineChars="200"/>
        <w:rPr>
          <w:color w:val="0D0D0D"/>
          <w:szCs w:val="32"/>
        </w:rPr>
      </w:pPr>
      <w:r>
        <w:rPr>
          <w:color w:val="0D0D0D"/>
          <w:szCs w:val="32"/>
        </w:rPr>
        <w:t>（十一）</w:t>
      </w:r>
      <w:r>
        <w:rPr>
          <w:rFonts w:hint="eastAsia" w:ascii="方正仿宋_GBK" w:hAnsi="方正仿宋_GBK" w:cs="方正仿宋_GBK"/>
          <w:color w:val="0D0D0D"/>
          <w:szCs w:val="32"/>
        </w:rPr>
        <w:t>“三公”</w:t>
      </w:r>
      <w:r>
        <w:rPr>
          <w:color w:val="0D0D0D"/>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92CB90">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104A775">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679E8E1D">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05187A35">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03732A21">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40726E4">
      <w:pPr>
        <w:adjustRightInd w:val="0"/>
        <w:snapToGrid w:val="0"/>
        <w:spacing w:line="600" w:lineRule="exact"/>
        <w:ind w:firstLine="640" w:firstLineChars="200"/>
        <w:rPr>
          <w:color w:val="0D0D0D"/>
        </w:rPr>
      </w:pPr>
    </w:p>
    <w:p w14:paraId="58D6CD0A">
      <w:pPr>
        <w:spacing w:line="600" w:lineRule="exact"/>
        <w:ind w:firstLine="640" w:firstLineChars="200"/>
        <w:rPr>
          <w:color w:val="0D0D0D"/>
        </w:rPr>
      </w:pPr>
      <w:r>
        <w:rPr>
          <w:color w:val="0D0D0D"/>
        </w:rPr>
        <w:t>部门预算公开联系人：</w:t>
      </w:r>
      <w:r>
        <w:rPr>
          <w:rFonts w:hint="eastAsia"/>
          <w:color w:val="0D0D0D"/>
        </w:rPr>
        <w:t>朱成萍</w:t>
      </w:r>
      <w:r>
        <w:rPr>
          <w:rFonts w:hint="eastAsia"/>
        </w:rPr>
        <w:t>，</w:t>
      </w:r>
      <w:r>
        <w:t>联系方式：</w:t>
      </w:r>
      <w:r>
        <w:rPr>
          <w:szCs w:val="32"/>
        </w:rPr>
        <w:t>023</w:t>
      </w:r>
      <w:r>
        <w:t>-</w:t>
      </w:r>
      <w:r>
        <w:rPr>
          <w:szCs w:val="32"/>
        </w:rPr>
        <w:t>65707445</w:t>
      </w:r>
      <w:r>
        <w:t xml:space="preserve"> </w:t>
      </w:r>
    </w:p>
    <w:p w14:paraId="7623558C"/>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5627C52-28DB-4C0E-9956-6CC2C301DB38}"/>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7B63504F-F877-487E-87CD-30DDB2182B9E}"/>
  </w:font>
  <w:font w:name="方正黑体_GBK">
    <w:panose1 w:val="02010600010101010101"/>
    <w:charset w:val="86"/>
    <w:family w:val="script"/>
    <w:pitch w:val="default"/>
    <w:sig w:usb0="00000001" w:usb1="080E0000" w:usb2="00000000" w:usb3="00000000" w:csb0="00040000" w:csb1="00000000"/>
    <w:embedRegular r:id="rId3" w:fontKey="{B343356A-60E4-44F1-9C94-F69DA0B4A0FC}"/>
  </w:font>
  <w:font w:name="仿宋_GB2312">
    <w:altName w:val="仿宋"/>
    <w:panose1 w:val="00000000000000000000"/>
    <w:charset w:val="86"/>
    <w:family w:val="modern"/>
    <w:pitch w:val="default"/>
    <w:sig w:usb0="00000000" w:usb1="00000000" w:usb2="00000000" w:usb3="00000000" w:csb0="00040000" w:csb1="00000000"/>
    <w:embedRegular r:id="rId4" w:fontKey="{A33728BF-A58B-4918-ABD8-B71037963449}"/>
  </w:font>
  <w:font w:name="方正楷体_GBK">
    <w:panose1 w:val="02000000000000000000"/>
    <w:charset w:val="86"/>
    <w:family w:val="script"/>
    <w:pitch w:val="default"/>
    <w:sig w:usb0="800002BF" w:usb1="38CF7CFA" w:usb2="00000016" w:usb3="00000000" w:csb0="00040000" w:csb1="00000000"/>
    <w:embedRegular r:id="rId5" w:fontKey="{82199062-AEE4-4609-A087-324F303A34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760D">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D2ADB">
                          <w:pPr>
                            <w:pStyle w:val="3"/>
                            <w:ind w:left="640" w:leftChars="200" w:right="640" w:rightChars="2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7</w:t>
                          </w:r>
                          <w:r>
                            <w:rPr>
                              <w:rStyle w:val="6"/>
                              <w:rFonts w:eastAsia="宋体"/>
                              <w:sz w:val="28"/>
                              <w:szCs w:val="28"/>
                            </w:rPr>
                            <w:fldChar w:fldCharType="end"/>
                          </w:r>
                          <w:r>
                            <w:rPr>
                              <w:rStyle w:val="6"/>
                              <w:rFonts w:hint="eastAsia" w:ascii="宋体" w:hAnsi="宋体" w:eastAsia="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6CD2ADB">
                    <w:pPr>
                      <w:pStyle w:val="3"/>
                      <w:ind w:left="640" w:leftChars="200" w:right="640" w:rightChars="2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7</w:t>
                    </w:r>
                    <w:r>
                      <w:rPr>
                        <w:rStyle w:val="6"/>
                        <w:rFonts w:eastAsia="宋体"/>
                        <w:sz w:val="28"/>
                        <w:szCs w:val="28"/>
                      </w:rPr>
                      <w:fldChar w:fldCharType="end"/>
                    </w:r>
                    <w:r>
                      <w:rPr>
                        <w:rStyle w:val="6"/>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2EED">
    <w:pPr>
      <w:pStyle w:val="3"/>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50F8F3D5">
    <w:pPr>
      <w:pStyle w:val="3"/>
      <w:framePr w:wrap="around" w:vAnchor="text" w:hAnchor="margin" w:xAlign="outside" w:y="1"/>
      <w:ind w:left="640" w:leftChars="200" w:right="640" w:rightChars="200" w:firstLine="360"/>
      <w:rPr>
        <w:rStyle w:val="6"/>
        <w:rFonts w:ascii="宋体" w:hAnsi="宋体" w:eastAsia="宋体"/>
        <w:sz w:val="28"/>
        <w:szCs w:val="28"/>
      </w:rPr>
    </w:pPr>
  </w:p>
  <w:p w14:paraId="44E05B68">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164F"/>
    <w:rsid w:val="00673A94"/>
    <w:rsid w:val="00AC50E7"/>
    <w:rsid w:val="00BA7E7F"/>
    <w:rsid w:val="029F2C5A"/>
    <w:rsid w:val="15FE3A0D"/>
    <w:rsid w:val="1EF8C7A9"/>
    <w:rsid w:val="2F9FFBD5"/>
    <w:rsid w:val="377F8C51"/>
    <w:rsid w:val="3A2FD683"/>
    <w:rsid w:val="3C65F752"/>
    <w:rsid w:val="3F57BF35"/>
    <w:rsid w:val="3FD7D209"/>
    <w:rsid w:val="41020388"/>
    <w:rsid w:val="43B3AD32"/>
    <w:rsid w:val="47BFE9A5"/>
    <w:rsid w:val="4F8A164F"/>
    <w:rsid w:val="5F6959D4"/>
    <w:rsid w:val="5FBF3A42"/>
    <w:rsid w:val="65DD9F43"/>
    <w:rsid w:val="65DF535E"/>
    <w:rsid w:val="6BDF5C8A"/>
    <w:rsid w:val="6BFB3750"/>
    <w:rsid w:val="6EFFDC35"/>
    <w:rsid w:val="6FAAB301"/>
    <w:rsid w:val="72FF5112"/>
    <w:rsid w:val="739F293A"/>
    <w:rsid w:val="7596D63B"/>
    <w:rsid w:val="789DB86B"/>
    <w:rsid w:val="7B6F582A"/>
    <w:rsid w:val="7BFECB38"/>
    <w:rsid w:val="7D7EF681"/>
    <w:rsid w:val="7EDFD089"/>
    <w:rsid w:val="7F6B5609"/>
    <w:rsid w:val="7FBFF571"/>
    <w:rsid w:val="7FDF50D2"/>
    <w:rsid w:val="7FF59D39"/>
    <w:rsid w:val="7FFF1F9E"/>
    <w:rsid w:val="8BF64589"/>
    <w:rsid w:val="9DB74090"/>
    <w:rsid w:val="9E4B7E17"/>
    <w:rsid w:val="9EEBF3CF"/>
    <w:rsid w:val="AAB7E5DF"/>
    <w:rsid w:val="AE3F1AE8"/>
    <w:rsid w:val="B6FDFC6C"/>
    <w:rsid w:val="B9D7B167"/>
    <w:rsid w:val="BB7FD36D"/>
    <w:rsid w:val="BBDB66AE"/>
    <w:rsid w:val="BBEA34B2"/>
    <w:rsid w:val="BDE85864"/>
    <w:rsid w:val="BFFFD4FD"/>
    <w:rsid w:val="CBD7A954"/>
    <w:rsid w:val="D5DED6D2"/>
    <w:rsid w:val="D9576CD7"/>
    <w:rsid w:val="DAFF6FB1"/>
    <w:rsid w:val="DB376549"/>
    <w:rsid w:val="DC3E2459"/>
    <w:rsid w:val="DFEFBC9B"/>
    <w:rsid w:val="E7F6F3CD"/>
    <w:rsid w:val="F67F358B"/>
    <w:rsid w:val="F6F71EFC"/>
    <w:rsid w:val="F8CF55DA"/>
    <w:rsid w:val="F8FFBE83"/>
    <w:rsid w:val="FDDDEB42"/>
    <w:rsid w:val="FDFEBBD9"/>
    <w:rsid w:val="FEFEF28C"/>
    <w:rsid w:val="FEFF467F"/>
    <w:rsid w:val="FEFFB8B2"/>
    <w:rsid w:val="FF5329C2"/>
    <w:rsid w:val="FF77F8AD"/>
    <w:rsid w:val="FFBF919C"/>
    <w:rsid w:val="FFFF8D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 w:type="paragraph" w:customStyle="1" w:styleId="7">
    <w:name w:val="正文-公1"/>
    <w:basedOn w:val="8"/>
    <w:next w:val="1"/>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3100</Words>
  <Characters>3354</Characters>
  <Lines>24</Lines>
  <Paragraphs>6</Paragraphs>
  <TotalTime>6</TotalTime>
  <ScaleCrop>false</ScaleCrop>
  <LinksUpToDate>false</LinksUpToDate>
  <CharactersWithSpaces>3355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2026-04-02T18:21:00Z</dcterms:created>
  <dc:creator>HP</dc:creator>
  <cp:lastModifiedBy>silence</cp:lastModifiedBy>
  <cp:lastPrinted>2026-04-02T02:58:00Z</cp:lastPrinted>
  <dcterms:modified xsi:type="dcterms:W3CDTF">2026-07-06T09:15:09Z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27D5E030585C0CCE1B30CA6980311D3D_43</vt:lpwstr>
  </property>
</Properties>
</file>