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D830">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bookmarkStart w:id="0" w:name="_Hlk195182547"/>
      <w:r>
        <w:rPr>
          <w:rFonts w:hint="eastAsia" w:ascii="方正小标宋_GBK" w:hAnsi="方正小标宋_GBK" w:eastAsia="方正小标宋_GBK" w:cs="方正小标宋_GBK"/>
          <w:sz w:val="44"/>
          <w:szCs w:val="44"/>
        </w:rPr>
        <w:t>巴福镇产业发展</w:t>
      </w:r>
      <w:bookmarkStart w:id="4" w:name="_GoBack"/>
      <w:bookmarkEnd w:id="4"/>
      <w:r>
        <w:rPr>
          <w:rFonts w:hint="eastAsia" w:ascii="方正小标宋_GBK" w:hAnsi="方正小标宋_GBK" w:eastAsia="方正小标宋_GBK" w:cs="方正小标宋_GBK"/>
          <w:sz w:val="44"/>
          <w:szCs w:val="44"/>
        </w:rPr>
        <w:t>服务中心</w:t>
      </w:r>
    </w:p>
    <w:bookmarkEnd w:id="0"/>
    <w:p w14:paraId="429DF894">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年部门预算情况说明</w:t>
      </w:r>
    </w:p>
    <w:p w14:paraId="62CD1E94">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p>
    <w:p w14:paraId="6F76F91F">
      <w:pPr>
        <w:pStyle w:val="4"/>
        <w:widowControl/>
        <w:shd w:val="clear" w:color="auto" w:fill="FFFFFF"/>
        <w:spacing w:beforeAutospacing="0" w:afterAutospacing="0" w:line="600" w:lineRule="exact"/>
        <w:ind w:firstLine="42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一、单位基本情况</w:t>
      </w:r>
    </w:p>
    <w:p w14:paraId="6914A18E">
      <w:pPr>
        <w:adjustRightInd w:val="0"/>
        <w:snapToGrid w:val="0"/>
        <w:spacing w:line="600" w:lineRule="exact"/>
        <w:ind w:firstLine="640" w:firstLineChars="200"/>
        <w:rPr>
          <w:rFonts w:hint="eastAsia" w:ascii="Times New Roman" w:hAnsi="Times New Roman" w:eastAsia="方正楷体_GBK" w:cs="Times New Roman"/>
          <w:color w:val="0D0D0D"/>
          <w:sz w:val="32"/>
          <w:szCs w:val="20"/>
        </w:rPr>
      </w:pPr>
      <w:r>
        <w:rPr>
          <w:rFonts w:hint="eastAsia" w:ascii="Times New Roman" w:hAnsi="Times New Roman" w:eastAsia="方正楷体_GBK" w:cs="Times New Roman"/>
          <w:color w:val="0D0D0D"/>
          <w:sz w:val="32"/>
          <w:szCs w:val="20"/>
        </w:rPr>
        <w:t>（一）职能职责</w:t>
      </w:r>
    </w:p>
    <w:p w14:paraId="398348FF">
      <w:pPr>
        <w:adjustRightInd w:val="0"/>
        <w:snapToGrid w:val="0"/>
        <w:spacing w:line="600" w:lineRule="exact"/>
        <w:ind w:firstLine="640" w:firstLineChars="200"/>
        <w:rPr>
          <w:rFonts w:hint="eastAsia" w:ascii="方正仿宋_GBK" w:hAnsi="方正仿宋_GBK" w:eastAsia="方正仿宋_GBK" w:cs="方正仿宋_GBK"/>
          <w:color w:val="0D0D0D"/>
          <w:sz w:val="32"/>
          <w:szCs w:val="20"/>
        </w:rPr>
      </w:pPr>
      <w:r>
        <w:rPr>
          <w:rFonts w:hint="eastAsia" w:ascii="方正仿宋_GBK" w:hAnsi="方正仿宋_GBK" w:eastAsia="方正仿宋_GBK" w:cs="方正仿宋_GBK"/>
          <w:color w:val="0D0D0D"/>
          <w:sz w:val="32"/>
          <w:szCs w:val="20"/>
        </w:rPr>
        <w:t>负责产业规划，产业的招引、培育、落地、技术支持等产业发展全链条服务性工作，协助推进重大项目建设等工作。</w:t>
      </w:r>
    </w:p>
    <w:p w14:paraId="2B47817A">
      <w:pPr>
        <w:adjustRightInd w:val="0"/>
        <w:snapToGrid w:val="0"/>
        <w:spacing w:line="600" w:lineRule="exact"/>
        <w:ind w:firstLine="640" w:firstLineChars="200"/>
        <w:rPr>
          <w:rFonts w:hint="eastAsia" w:ascii="Times New Roman" w:hAnsi="Times New Roman" w:eastAsia="方正楷体_GBK" w:cs="Times New Roman"/>
          <w:color w:val="0D0D0D"/>
          <w:sz w:val="32"/>
          <w:szCs w:val="20"/>
        </w:rPr>
      </w:pPr>
      <w:r>
        <w:rPr>
          <w:rFonts w:hint="eastAsia" w:ascii="Times New Roman" w:hAnsi="Times New Roman" w:eastAsia="方正楷体_GBK" w:cs="Times New Roman"/>
          <w:color w:val="0D0D0D"/>
          <w:sz w:val="32"/>
          <w:szCs w:val="20"/>
        </w:rPr>
        <w:t>（二）单位构成</w:t>
      </w:r>
    </w:p>
    <w:p w14:paraId="1C2797C9">
      <w:pPr>
        <w:adjustRightInd w:val="0"/>
        <w:snapToGrid w:val="0"/>
        <w:spacing w:line="600" w:lineRule="exact"/>
        <w:ind w:firstLine="640" w:firstLineChars="200"/>
        <w:rPr>
          <w:rFonts w:hint="eastAsia" w:ascii="Times New Roman" w:hAnsi="Times New Roman" w:eastAsia="方正楷体_GBK" w:cs="Times New Roman"/>
          <w:color w:val="0D0D0D"/>
          <w:sz w:val="32"/>
          <w:szCs w:val="20"/>
        </w:rPr>
      </w:pPr>
      <w:bookmarkStart w:id="1" w:name="OLE_LINK2"/>
      <w:r>
        <w:rPr>
          <w:rFonts w:hint="eastAsia" w:ascii="方正仿宋_GBK" w:hAnsi="方正仿宋_GBK" w:eastAsia="方正仿宋_GBK" w:cs="方正仿宋_GBK"/>
          <w:color w:val="0D0D0D"/>
          <w:sz w:val="32"/>
          <w:szCs w:val="20"/>
        </w:rPr>
        <w:t>巴福镇产业发展服务中心</w:t>
      </w:r>
      <w:bookmarkEnd w:id="1"/>
      <w:r>
        <w:rPr>
          <w:rFonts w:hint="eastAsia" w:ascii="方正仿宋_GBK" w:hAnsi="方正仿宋_GBK" w:eastAsia="方正仿宋_GBK" w:cs="方正仿宋_GBK"/>
          <w:color w:val="0D0D0D"/>
          <w:sz w:val="32"/>
          <w:szCs w:val="20"/>
        </w:rPr>
        <w:t>为巴福镇下属公益一类事业单位。</w:t>
      </w:r>
    </w:p>
    <w:p w14:paraId="597DE395">
      <w:pPr>
        <w:pStyle w:val="4"/>
        <w:widowControl/>
        <w:shd w:val="clear" w:color="auto" w:fill="FFFFFF"/>
        <w:spacing w:beforeAutospacing="0" w:afterAutospacing="0" w:line="600" w:lineRule="exact"/>
        <w:ind w:firstLine="42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二、部门收支总体情况</w:t>
      </w:r>
    </w:p>
    <w:p w14:paraId="37F15CC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（一）收入预算：202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年年初预算数</w:t>
      </w:r>
      <w:r>
        <w:rPr>
          <w:rFonts w:hint="default" w:ascii="Times New Roman" w:hAnsi="Times New Roman" w:eastAsia="方正仿宋_GBK" w:cs="Times New Roman"/>
          <w:sz w:val="32"/>
          <w:szCs w:val="32"/>
          <w:shd w:val="clear" w:color="auto" w:fill="FFFFFF"/>
          <w:lang w:val="en-US" w:eastAsia="zh-CN"/>
        </w:rPr>
        <w:t>109.02</w:t>
      </w:r>
      <w:r>
        <w:rPr>
          <w:rFonts w:hint="default" w:ascii="Times New Roman" w:hAnsi="Times New Roman" w:eastAsia="方正仿宋_GBK" w:cs="Times New Roman"/>
          <w:sz w:val="32"/>
          <w:szCs w:val="32"/>
          <w:shd w:val="clear" w:color="auto" w:fill="FFFFFF"/>
        </w:rPr>
        <w:t>万元，其中：一般公共预算拨款</w:t>
      </w:r>
      <w:r>
        <w:rPr>
          <w:rFonts w:hint="default" w:ascii="Times New Roman" w:hAnsi="Times New Roman" w:eastAsia="方正仿宋_GBK" w:cs="Times New Roman"/>
          <w:sz w:val="32"/>
          <w:szCs w:val="32"/>
          <w:shd w:val="clear" w:color="auto" w:fill="FFFFFF"/>
          <w:lang w:val="en-US" w:eastAsia="zh-CN"/>
        </w:rPr>
        <w:t>109.02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lang w:eastAsia="zh-CN"/>
        </w:rPr>
        <w:t>较</w:t>
      </w:r>
      <w:r>
        <w:rPr>
          <w:rFonts w:hint="default" w:ascii="Times New Roman" w:hAnsi="Times New Roman" w:eastAsia="方正仿宋_GBK" w:cs="Times New Roman"/>
          <w:color w:val="auto"/>
          <w:sz w:val="32"/>
          <w:szCs w:val="32"/>
          <w:shd w:val="clear" w:color="auto" w:fill="FFFFFF"/>
        </w:rPr>
        <w:t>2025年</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lang w:val="en-US" w:eastAsia="zh-CN"/>
        </w:rPr>
        <w:t>16.11万元。</w:t>
      </w:r>
    </w:p>
    <w:p w14:paraId="593EC8C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（二）支出预算：202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年年初预算数</w:t>
      </w:r>
      <w:r>
        <w:rPr>
          <w:rFonts w:hint="default" w:ascii="Times New Roman" w:hAnsi="Times New Roman" w:eastAsia="方正仿宋_GBK" w:cs="Times New Roman"/>
          <w:sz w:val="32"/>
          <w:szCs w:val="32"/>
          <w:shd w:val="clear" w:color="auto" w:fill="FFFFFF"/>
          <w:lang w:val="en-US" w:eastAsia="zh-CN"/>
        </w:rPr>
        <w:t>109.02</w:t>
      </w:r>
      <w:r>
        <w:rPr>
          <w:rFonts w:hint="default" w:ascii="Times New Roman" w:hAnsi="Times New Roman" w:eastAsia="方正仿宋_GBK" w:cs="Times New Roman"/>
          <w:sz w:val="32"/>
          <w:szCs w:val="32"/>
          <w:shd w:val="clear" w:color="auto" w:fill="FFFFFF"/>
        </w:rPr>
        <w:t>万元，其中：一般公共服务支出预算</w:t>
      </w:r>
      <w:r>
        <w:rPr>
          <w:rFonts w:hint="default" w:ascii="Times New Roman" w:hAnsi="Times New Roman" w:eastAsia="方正仿宋_GBK" w:cs="Times New Roman"/>
          <w:sz w:val="32"/>
          <w:szCs w:val="32"/>
          <w:shd w:val="clear" w:color="auto" w:fill="FFFFFF"/>
          <w:lang w:val="en-US" w:eastAsia="zh-CN"/>
        </w:rPr>
        <w:t>76.40</w:t>
      </w:r>
      <w:r>
        <w:rPr>
          <w:rFonts w:hint="default" w:ascii="Times New Roman" w:hAnsi="Times New Roman" w:eastAsia="方正仿宋_GBK" w:cs="Times New Roman"/>
          <w:sz w:val="32"/>
          <w:szCs w:val="32"/>
          <w:shd w:val="clear" w:color="auto" w:fill="FFFFFF"/>
        </w:rPr>
        <w:t>万元，社会保障和就业支出预算</w:t>
      </w:r>
      <w:r>
        <w:rPr>
          <w:rFonts w:hint="default" w:ascii="Times New Roman" w:hAnsi="Times New Roman" w:eastAsia="方正仿宋_GBK" w:cs="Times New Roman"/>
          <w:sz w:val="32"/>
          <w:szCs w:val="32"/>
          <w:shd w:val="clear" w:color="auto" w:fill="FFFFFF"/>
          <w:lang w:val="en-US" w:eastAsia="zh-CN"/>
        </w:rPr>
        <w:t>23.60</w:t>
      </w:r>
      <w:r>
        <w:rPr>
          <w:rFonts w:hint="default" w:ascii="Times New Roman" w:hAnsi="Times New Roman" w:eastAsia="方正仿宋_GBK" w:cs="Times New Roman"/>
          <w:sz w:val="32"/>
          <w:szCs w:val="32"/>
          <w:shd w:val="clear" w:color="auto" w:fill="FFFFFF"/>
        </w:rPr>
        <w:t>万元，卫生健康支出预算</w:t>
      </w:r>
      <w:r>
        <w:rPr>
          <w:rFonts w:hint="default" w:ascii="Times New Roman" w:hAnsi="Times New Roman" w:eastAsia="方正仿宋_GBK" w:cs="Times New Roman"/>
          <w:sz w:val="32"/>
          <w:szCs w:val="32"/>
          <w:shd w:val="clear" w:color="auto" w:fill="FFFFFF"/>
          <w:lang w:val="en-US" w:eastAsia="zh-CN"/>
        </w:rPr>
        <w:t>4.78</w:t>
      </w:r>
      <w:r>
        <w:rPr>
          <w:rFonts w:hint="default" w:ascii="Times New Roman" w:hAnsi="Times New Roman" w:eastAsia="方正仿宋_GBK" w:cs="Times New Roman"/>
          <w:sz w:val="32"/>
          <w:szCs w:val="32"/>
          <w:shd w:val="clear" w:color="auto" w:fill="FFFFFF"/>
        </w:rPr>
        <w:t>万元，住房保障支出预算</w:t>
      </w:r>
      <w:r>
        <w:rPr>
          <w:rFonts w:hint="default" w:ascii="Times New Roman" w:hAnsi="Times New Roman" w:eastAsia="方正仿宋_GBK" w:cs="Times New Roman"/>
          <w:sz w:val="32"/>
          <w:szCs w:val="32"/>
          <w:shd w:val="clear" w:color="auto" w:fill="FFFFFF"/>
          <w:lang w:val="en-US" w:eastAsia="zh-CN"/>
        </w:rPr>
        <w:t>4.25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较</w:t>
      </w:r>
      <w:r>
        <w:rPr>
          <w:rFonts w:hint="default" w:ascii="Times New Roman" w:hAnsi="Times New Roman" w:eastAsia="方正仿宋_GBK" w:cs="Times New Roman"/>
          <w:color w:val="auto"/>
          <w:sz w:val="32"/>
          <w:szCs w:val="32"/>
          <w:shd w:val="clear" w:color="auto" w:fill="FFFFFF"/>
        </w:rPr>
        <w:t>2025年</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lang w:val="en-US" w:eastAsia="zh-CN"/>
        </w:rPr>
        <w:t>16.11万元</w:t>
      </w:r>
      <w:r>
        <w:rPr>
          <w:rFonts w:hint="default" w:ascii="Times New Roman" w:hAnsi="Times New Roman" w:eastAsia="方正仿宋_GBK" w:cs="Times New Roman"/>
          <w:color w:val="auto"/>
          <w:sz w:val="32"/>
          <w:szCs w:val="32"/>
          <w:shd w:val="clear" w:color="auto" w:fill="FFFFFF"/>
        </w:rPr>
        <w:t>。</w:t>
      </w:r>
    </w:p>
    <w:p w14:paraId="7C4F33B8">
      <w:pPr>
        <w:pStyle w:val="4"/>
        <w:widowControl/>
        <w:shd w:val="clear" w:color="auto" w:fill="FFFFFF"/>
        <w:spacing w:beforeAutospacing="0" w:afterAutospacing="0" w:line="600" w:lineRule="exact"/>
        <w:ind w:firstLine="42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三、部门预算情况说明</w:t>
      </w:r>
    </w:p>
    <w:p w14:paraId="584A72C9">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年一般公共预算财政拨款收入</w:t>
      </w:r>
      <w:r>
        <w:rPr>
          <w:rFonts w:hint="default" w:ascii="Times New Roman" w:hAnsi="Times New Roman" w:eastAsia="方正仿宋_GBK" w:cs="Times New Roman"/>
          <w:sz w:val="32"/>
          <w:szCs w:val="32"/>
          <w:shd w:val="clear" w:color="auto" w:fill="FFFFFF"/>
          <w:lang w:val="en-US" w:eastAsia="zh-CN"/>
        </w:rPr>
        <w:t>109.02</w:t>
      </w:r>
      <w:r>
        <w:rPr>
          <w:rFonts w:hint="default" w:ascii="Times New Roman" w:hAnsi="Times New Roman" w:eastAsia="方正仿宋_GBK" w:cs="Times New Roman"/>
          <w:sz w:val="32"/>
          <w:szCs w:val="32"/>
          <w:shd w:val="clear" w:color="auto" w:fill="FFFFFF"/>
        </w:rPr>
        <w:t>万元，一般公共预算财政拨款支出</w:t>
      </w:r>
      <w:r>
        <w:rPr>
          <w:rFonts w:hint="default" w:ascii="Times New Roman" w:hAnsi="Times New Roman" w:eastAsia="方正仿宋_GBK" w:cs="Times New Roman"/>
          <w:sz w:val="32"/>
          <w:szCs w:val="32"/>
          <w:shd w:val="clear" w:color="auto" w:fill="FFFFFF"/>
          <w:lang w:val="en-US" w:eastAsia="zh-CN"/>
        </w:rPr>
        <w:t>109.02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比</w:t>
      </w:r>
      <w:r>
        <w:rPr>
          <w:rFonts w:hint="default" w:ascii="Times New Roman" w:hAnsi="Times New Roman" w:eastAsia="方正仿宋_GBK" w:cs="Times New Roman"/>
          <w:sz w:val="32"/>
          <w:szCs w:val="32"/>
          <w:shd w:val="clear" w:color="auto" w:fill="FFFFFF"/>
          <w:lang w:val="en-US" w:eastAsia="zh-CN"/>
        </w:rPr>
        <w:t>2025年减少16.11万元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lang w:val="en-US" w:eastAsia="zh-CN"/>
        </w:rPr>
        <w:t>109.02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比</w:t>
      </w:r>
      <w:r>
        <w:rPr>
          <w:rFonts w:hint="default" w:ascii="Times New Roman" w:hAnsi="Times New Roman" w:eastAsia="方正仿宋_GBK" w:cs="Times New Roman"/>
          <w:sz w:val="32"/>
          <w:szCs w:val="32"/>
          <w:shd w:val="clear" w:color="auto" w:fill="FFFFFF"/>
          <w:lang w:val="en-US" w:eastAsia="zh-CN"/>
        </w:rPr>
        <w:t>2025年减少16.11万元，主要原因为公用经费综合定额标准降低。</w:t>
      </w:r>
      <w:r>
        <w:rPr>
          <w:rFonts w:hint="default" w:ascii="Times New Roman" w:hAnsi="Times New Roman" w:eastAsia="方正仿宋_GBK" w:cs="Times New Roman"/>
          <w:sz w:val="32"/>
          <w:szCs w:val="32"/>
          <w:shd w:val="clear" w:color="auto" w:fill="FFFFFF"/>
        </w:rPr>
        <w:t>主要用于保障在职人员工资福利及社会保险缴费，退休人员补助等，保障部门正常运转的各项商品服务支出。</w:t>
      </w:r>
    </w:p>
    <w:p w14:paraId="18625681">
      <w:pPr>
        <w:pStyle w:val="4"/>
        <w:keepNext w:val="0"/>
        <w:keepLines w:val="0"/>
        <w:pageBreakBefore w:val="0"/>
        <w:widowControl w:val="0"/>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巴福镇产业发展服务中心</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年无使用政府性基金预算拨款安排的支出。</w:t>
      </w:r>
    </w:p>
    <w:p w14:paraId="50D81B2E">
      <w:pPr>
        <w:pStyle w:val="4"/>
        <w:widowControl/>
        <w:shd w:val="clear" w:color="auto" w:fill="FFFFFF"/>
        <w:spacing w:beforeAutospacing="0" w:afterAutospacing="0" w:line="600" w:lineRule="exact"/>
        <w:ind w:firstLine="42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四、“三公”经费情况说明</w:t>
      </w:r>
    </w:p>
    <w:p w14:paraId="303A13D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w:t>
      </w:r>
      <w:r>
        <w:rPr>
          <w:rFonts w:hint="default" w:ascii="Times New Roman" w:hAnsi="Times New Roman" w:eastAsia="方正仿宋_GBK" w:cs="Times New Roman"/>
          <w:color w:val="000000" w:themeColor="text1"/>
          <w:sz w:val="32"/>
          <w:szCs w:val="32"/>
          <w:shd w:val="clear" w:color="auto" w:fill="FFFFFF"/>
          <w:lang w:val="en-US" w:eastAsia="zh-CN"/>
        </w:rPr>
        <w:t>6</w:t>
      </w:r>
      <w:r>
        <w:rPr>
          <w:rFonts w:hint="default" w:ascii="Times New Roman" w:hAnsi="Times New Roman" w:eastAsia="方正仿宋_GBK" w:cs="Times New Roman"/>
          <w:color w:val="000000" w:themeColor="text1"/>
          <w:sz w:val="32"/>
          <w:szCs w:val="32"/>
          <w:shd w:val="clear" w:color="auto" w:fill="FFFFFF"/>
        </w:rPr>
        <w:t>年“三公”经费预算</w:t>
      </w:r>
      <w:r>
        <w:rPr>
          <w:rFonts w:hint="default" w:ascii="Times New Roman" w:hAnsi="Times New Roman" w:eastAsia="方正仿宋_GBK" w:cs="Times New Roman"/>
          <w:color w:val="000000" w:themeColor="text1"/>
          <w:sz w:val="32"/>
          <w:szCs w:val="32"/>
          <w:shd w:val="clear" w:color="auto" w:fill="FFFFFF"/>
          <w:lang w:val="en-US" w:eastAsia="zh-CN"/>
        </w:rPr>
        <w:t>4.5</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lang w:eastAsia="zh-CN"/>
        </w:rPr>
        <w:t>比</w:t>
      </w:r>
      <w:r>
        <w:rPr>
          <w:rFonts w:hint="default" w:ascii="Times New Roman" w:hAnsi="Times New Roman" w:eastAsia="方正仿宋_GBK" w:cs="Times New Roman"/>
          <w:color w:val="000000" w:themeColor="text1"/>
          <w:sz w:val="32"/>
          <w:szCs w:val="32"/>
          <w:shd w:val="clear" w:color="auto" w:fill="FFFFFF"/>
          <w:lang w:val="en-US" w:eastAsia="zh-CN"/>
        </w:rPr>
        <w:t>2025年减少18万元。</w:t>
      </w:r>
      <w:r>
        <w:rPr>
          <w:rFonts w:hint="default" w:ascii="Times New Roman" w:hAnsi="Times New Roman" w:eastAsia="方正仿宋_GBK" w:cs="Times New Roman"/>
          <w:color w:val="000000" w:themeColor="text1"/>
          <w:sz w:val="32"/>
          <w:szCs w:val="32"/>
          <w:shd w:val="clear" w:color="auto" w:fill="FFFFFF"/>
        </w:rPr>
        <w:t>其中：</w:t>
      </w:r>
      <w:r>
        <w:rPr>
          <w:rFonts w:hint="default" w:ascii="Times New Roman" w:hAnsi="Times New Roman" w:eastAsia="方正仿宋_GBK" w:cs="Times New Roman"/>
          <w:sz w:val="32"/>
          <w:szCs w:val="32"/>
          <w:shd w:val="clear" w:color="auto" w:fill="FFFFFF"/>
        </w:rPr>
        <w:t>因公出国（境）费用0万元，主要原因是本年度没有因公出国（境）的计划</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万元，与202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年一致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公务用车购置费</w:t>
      </w:r>
      <w:r>
        <w:rPr>
          <w:rFonts w:hint="default" w:ascii="Times New Roman" w:hAnsi="Times New Roman" w:eastAsia="方正仿宋_GBK" w:cs="Times New Roman"/>
          <w:color w:val="000000" w:themeColor="text1"/>
          <w:sz w:val="32"/>
          <w:szCs w:val="32"/>
          <w:shd w:val="clear" w:color="auto" w:fill="FFFFFF"/>
          <w:lang w:val="en-US" w:eastAsia="zh-CN"/>
        </w:rPr>
        <w:t>0万元，</w:t>
      </w:r>
      <w:r>
        <w:rPr>
          <w:rFonts w:hint="default" w:ascii="Times New Roman" w:hAnsi="Times New Roman" w:eastAsia="方正仿宋_GBK" w:cs="Times New Roman"/>
          <w:sz w:val="32"/>
          <w:szCs w:val="32"/>
          <w:shd w:val="clear" w:color="auto" w:fill="FFFFFF"/>
        </w:rPr>
        <w:t>比202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18万元，</w:t>
      </w:r>
      <w:bookmarkStart w:id="2" w:name="OLE_LINK9"/>
      <w:r>
        <w:rPr>
          <w:rFonts w:hint="default" w:ascii="Times New Roman" w:hAnsi="Times New Roman" w:eastAsia="方正仿宋_GBK" w:cs="Times New Roman"/>
          <w:sz w:val="32"/>
          <w:szCs w:val="32"/>
          <w:shd w:val="clear" w:color="auto" w:fill="FFFFFF"/>
        </w:rPr>
        <w:t>主要</w:t>
      </w:r>
      <w:bookmarkStart w:id="3" w:name="OLE_LINK10"/>
      <w:r>
        <w:rPr>
          <w:rFonts w:hint="default" w:ascii="Times New Roman" w:hAnsi="Times New Roman" w:eastAsia="方正仿宋_GBK" w:cs="Times New Roman"/>
          <w:sz w:val="32"/>
          <w:szCs w:val="32"/>
          <w:shd w:val="clear" w:color="auto" w:fill="FFFFFF"/>
        </w:rPr>
        <w:t>原</w:t>
      </w:r>
      <w:r>
        <w:rPr>
          <w:rFonts w:hint="default" w:ascii="Times New Roman" w:hAnsi="Times New Roman" w:eastAsia="方正仿宋_GBK" w:cs="Times New Roman"/>
          <w:sz w:val="32"/>
          <w:szCs w:val="32"/>
          <w:shd w:val="clear" w:color="auto" w:fill="FFFFFF"/>
          <w:lang w:eastAsia="zh-CN"/>
        </w:rPr>
        <w:t>因是</w:t>
      </w:r>
      <w:bookmarkEnd w:id="3"/>
      <w:r>
        <w:rPr>
          <w:rFonts w:hint="default" w:ascii="Times New Roman" w:hAnsi="Times New Roman" w:eastAsia="方正仿宋_GBK" w:cs="Times New Roman"/>
          <w:sz w:val="32"/>
          <w:szCs w:val="32"/>
          <w:shd w:val="clear" w:color="auto" w:fill="FFFFFF"/>
          <w:lang w:val="en-US" w:eastAsia="zh-CN"/>
        </w:rPr>
        <w:t>本年度没有</w:t>
      </w:r>
      <w:r>
        <w:rPr>
          <w:rFonts w:hint="default" w:ascii="Times New Roman" w:hAnsi="Times New Roman" w:eastAsia="方正仿宋_GBK" w:cs="Times New Roman"/>
          <w:sz w:val="32"/>
          <w:szCs w:val="32"/>
          <w:shd w:val="clear" w:color="auto" w:fill="FFFFFF"/>
        </w:rPr>
        <w:t>购置新车</w:t>
      </w:r>
      <w:bookmarkEnd w:id="2"/>
      <w:r>
        <w:rPr>
          <w:rFonts w:hint="default" w:ascii="Times New Roman" w:hAnsi="Times New Roman" w:eastAsia="方正仿宋_GBK" w:cs="Times New Roman"/>
          <w:sz w:val="32"/>
          <w:szCs w:val="32"/>
          <w:shd w:val="clear" w:color="auto" w:fill="FFFFFF"/>
          <w:lang w:eastAsia="zh-CN"/>
        </w:rPr>
        <w:t>的计划</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公务用车运行费</w:t>
      </w:r>
      <w:r>
        <w:rPr>
          <w:rFonts w:hint="default" w:ascii="Times New Roman" w:hAnsi="Times New Roman" w:eastAsia="方正仿宋_GBK" w:cs="Times New Roman"/>
          <w:color w:val="000000" w:themeColor="text1"/>
          <w:sz w:val="32"/>
          <w:szCs w:val="32"/>
          <w:shd w:val="clear" w:color="auto" w:fill="FFFFFF"/>
          <w:lang w:val="en-US" w:eastAsia="zh-CN"/>
        </w:rPr>
        <w:t>4.5</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年一致</w:t>
      </w:r>
      <w:r>
        <w:rPr>
          <w:rFonts w:hint="default" w:ascii="Times New Roman" w:hAnsi="Times New Roman" w:eastAsia="方正仿宋_GBK" w:cs="Times New Roman"/>
          <w:color w:val="000000" w:themeColor="text1"/>
          <w:sz w:val="32"/>
          <w:szCs w:val="32"/>
          <w:shd w:val="clear" w:color="auto" w:fill="FFFFFF"/>
        </w:rPr>
        <w:t>。</w:t>
      </w:r>
    </w:p>
    <w:p w14:paraId="45B6A29C">
      <w:pPr>
        <w:pStyle w:val="4"/>
        <w:widowControl/>
        <w:shd w:val="clear" w:color="auto" w:fill="FFFFFF"/>
        <w:spacing w:beforeAutospacing="0" w:afterAutospacing="0" w:line="600" w:lineRule="exact"/>
        <w:ind w:firstLine="42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五、其他重要事项的情况说明</w:t>
      </w:r>
    </w:p>
    <w:p w14:paraId="5120FC01">
      <w:pPr>
        <w:pStyle w:val="4"/>
        <w:widowControl/>
        <w:shd w:val="clear" w:color="auto" w:fill="FFFFFF"/>
        <w:spacing w:beforeAutospacing="0" w:afterAutospacing="0" w:line="600" w:lineRule="exact"/>
        <w:ind w:firstLine="42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我单位不在机关运行经费统计范围之内。</w:t>
      </w:r>
    </w:p>
    <w:p w14:paraId="48714E5E">
      <w:pPr>
        <w:pStyle w:val="4"/>
        <w:widowControl/>
        <w:shd w:val="clear" w:color="auto" w:fill="FFFFFF"/>
        <w:spacing w:beforeAutospacing="0" w:afterAutospacing="0" w:line="600" w:lineRule="exact"/>
        <w:ind w:firstLine="42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（二）</w:t>
      </w:r>
      <w:r>
        <w:rPr>
          <w:rFonts w:hint="default" w:ascii="Times New Roman" w:hAnsi="Times New Roman" w:eastAsia="方正仿宋_GBK" w:cs="Times New Roman"/>
          <w:sz w:val="32"/>
          <w:szCs w:val="32"/>
          <w:shd w:val="clear" w:color="auto" w:fill="FFFFFF"/>
        </w:rPr>
        <w:t>政府采购情况。202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年无政府采购情况。</w:t>
      </w:r>
    </w:p>
    <w:p w14:paraId="1BC4A622">
      <w:pPr>
        <w:pStyle w:val="4"/>
        <w:widowControl/>
        <w:shd w:val="clear" w:color="auto" w:fill="FFFFFF"/>
        <w:spacing w:beforeAutospacing="0" w:afterAutospacing="0" w:line="600" w:lineRule="exact"/>
        <w:ind w:firstLine="42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（三）</w:t>
      </w:r>
      <w:r>
        <w:rPr>
          <w:rFonts w:hint="default" w:ascii="Times New Roman" w:hAnsi="Times New Roman" w:eastAsia="方正仿宋_GBK" w:cs="Times New Roman"/>
          <w:sz w:val="32"/>
          <w:szCs w:val="32"/>
          <w:shd w:val="clear" w:color="auto" w:fill="FFFFFF"/>
        </w:rPr>
        <w:t>绩效目标设置情况。202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年无项目支出，不涉及绩效目标管理。</w:t>
      </w:r>
    </w:p>
    <w:p w14:paraId="3C22E5C2">
      <w:pPr>
        <w:pStyle w:val="4"/>
        <w:widowControl/>
        <w:shd w:val="clear" w:color="auto" w:fill="FFFFFF"/>
        <w:spacing w:beforeAutospacing="0" w:afterAutospacing="0" w:line="600" w:lineRule="exact"/>
        <w:ind w:firstLine="420"/>
        <w:jc w:val="both"/>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（四）</w:t>
      </w:r>
      <w:r>
        <w:rPr>
          <w:rFonts w:hint="default" w:ascii="Times New Roman" w:hAnsi="Times New Roman" w:eastAsia="方正仿宋_GBK" w:cs="Times New Roman"/>
          <w:color w:val="auto"/>
          <w:sz w:val="32"/>
          <w:szCs w:val="32"/>
          <w:shd w:val="clear" w:color="auto" w:fill="FFFFFF"/>
        </w:rPr>
        <w:t>国有资产占有使用情况。截至202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年12月，巴福镇</w:t>
      </w:r>
      <w:r>
        <w:rPr>
          <w:rFonts w:hint="default" w:ascii="Times New Roman" w:hAnsi="Times New Roman" w:eastAsia="方正仿宋_GBK" w:cs="Times New Roman"/>
          <w:color w:val="auto"/>
          <w:sz w:val="32"/>
          <w:szCs w:val="32"/>
          <w:shd w:val="clear" w:color="auto" w:fill="FFFFFF"/>
          <w:lang w:eastAsia="zh-CN"/>
        </w:rPr>
        <w:t>产业发展服务</w:t>
      </w:r>
      <w:r>
        <w:rPr>
          <w:rFonts w:hint="default" w:ascii="Times New Roman" w:hAnsi="Times New Roman" w:eastAsia="方正仿宋_GBK" w:cs="Times New Roman"/>
          <w:color w:val="auto"/>
          <w:sz w:val="32"/>
          <w:szCs w:val="32"/>
          <w:shd w:val="clear" w:color="auto" w:fill="FFFFFF"/>
        </w:rPr>
        <w:t>中心公务用车保有量</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辆。</w:t>
      </w:r>
    </w:p>
    <w:p w14:paraId="4ADE1443">
      <w:pPr>
        <w:pStyle w:val="4"/>
        <w:widowControl/>
        <w:shd w:val="clear" w:color="auto" w:fill="FFFFFF"/>
        <w:spacing w:beforeAutospacing="0" w:afterAutospacing="0" w:line="600" w:lineRule="exact"/>
        <w:ind w:firstLine="420"/>
        <w:jc w:val="both"/>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（五）委托业务费情况。2026年委托业务费涉及财拨资金</w:t>
      </w:r>
      <w:r>
        <w:rPr>
          <w:rFonts w:hint="eastAsia" w:ascii="Times New Roman" w:hAnsi="Times New Roman" w:eastAsia="方正仿宋_GBK" w:cs="Times New Roman"/>
          <w:color w:val="auto"/>
          <w:sz w:val="32"/>
          <w:szCs w:val="32"/>
          <w:shd w:val="clear" w:color="auto" w:fill="FFFFFF"/>
          <w:lang w:val="en-US" w:eastAsia="zh-CN"/>
        </w:rPr>
        <w:t>2.95</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，主要用于公用经费综合定额支出。</w:t>
      </w:r>
    </w:p>
    <w:p w14:paraId="58BFD666">
      <w:pPr>
        <w:pStyle w:val="4"/>
        <w:widowControl/>
        <w:shd w:val="clear" w:color="auto" w:fill="FFFFFF"/>
        <w:spacing w:beforeAutospacing="0" w:afterAutospacing="0" w:line="600" w:lineRule="exact"/>
        <w:ind w:firstLine="42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六、专业性名词解释</w:t>
      </w:r>
    </w:p>
    <w:p w14:paraId="712F4C6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602F7F9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2E5DA75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19B303E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（四）上级补助收入：指从主管部门或上级单位取得的财政拨款以外的其他补助收入。单位结合上年度上级补助收入等情况进行预计。</w:t>
      </w:r>
    </w:p>
    <w:p w14:paraId="11F5803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6C880AC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169B01F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（七）其他收入：指债务收入、投资收益等收入，单位根据情况合理预计，全部编入预算。</w:t>
      </w:r>
    </w:p>
    <w:p w14:paraId="1A09475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F64CC8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75C40F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14:paraId="5E6DB39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CDC52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FB12C1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7CD25D1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（十四）商品和服务支出（支出经济分类科目类级）：反映单位购买商品和服务的支出（不包括用于购置固定资产的支出、战略性和应急储备支出）。</w:t>
      </w:r>
    </w:p>
    <w:p w14:paraId="1D09B63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（十五）对个人和家庭的补助（支出经济分类科目类级）：反映用于对个人和家庭的补助支出。</w:t>
      </w:r>
    </w:p>
    <w:p w14:paraId="0689971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F295B0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p>
    <w:p w14:paraId="249D73D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7"/>
          <w:rFonts w:hint="default" w:ascii="Times New Roman" w:hAnsi="Times New Roman" w:eastAsia="方正仿宋_GBK" w:cs="Times New Roman"/>
          <w:b w:val="0"/>
          <w:sz w:val="32"/>
          <w:szCs w:val="32"/>
          <w:shd w:val="clear" w:color="auto" w:fill="FFFFFF"/>
        </w:rPr>
        <w:t>（部门预算公开联系人：</w:t>
      </w:r>
      <w:r>
        <w:rPr>
          <w:rStyle w:val="7"/>
          <w:rFonts w:hint="default" w:ascii="Times New Roman" w:hAnsi="Times New Roman" w:eastAsia="方正仿宋_GBK" w:cs="Times New Roman"/>
          <w:b w:val="0"/>
          <w:bCs/>
          <w:sz w:val="32"/>
          <w:szCs w:val="32"/>
          <w:shd w:val="clear" w:color="auto" w:fill="FFFFFF"/>
        </w:rPr>
        <w:t>谭春红，电话：023-65761316</w:t>
      </w:r>
      <w:r>
        <w:rPr>
          <w:rStyle w:val="7"/>
          <w:rFonts w:hint="default" w:ascii="Times New Roman" w:hAnsi="Times New Roman" w:eastAsia="方正仿宋_GBK" w:cs="Times New Roman"/>
          <w:b w:val="0"/>
          <w:sz w:val="32"/>
          <w:szCs w:val="32"/>
          <w:shd w:val="clear" w:color="auto" w:fill="FFFFFF"/>
        </w:rPr>
        <w:t>）</w:t>
      </w:r>
    </w:p>
    <w:p w14:paraId="16A0E5EA">
      <w:pPr>
        <w:pStyle w:val="4"/>
        <w:widowControl/>
        <w:spacing w:beforeAutospacing="0" w:afterAutospacing="0" w:line="600" w:lineRule="exact"/>
        <w:rPr>
          <w:rFonts w:hint="eastAsia" w:ascii="方正仿宋_GBK" w:hAnsi="方正仿宋_GBK" w:eastAsia="方正仿宋_GBK" w:cs="方正仿宋_GBK"/>
          <w:b/>
          <w:bCs/>
          <w:sz w:val="32"/>
          <w:szCs w:val="32"/>
        </w:rPr>
      </w:pPr>
    </w:p>
    <w:p w14:paraId="1A175F6A">
      <w:pPr>
        <w:spacing w:line="600" w:lineRule="exact"/>
        <w:rPr>
          <w:rFonts w:hint="eastAsia" w:ascii="方正仿宋_GBK" w:hAnsi="方正仿宋_GBK" w:eastAsia="方正仿宋_GBK" w:cs="方正仿宋_GBK"/>
          <w:b/>
          <w:bCs/>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245CA"/>
    <w:rsid w:val="0012364A"/>
    <w:rsid w:val="00157C7C"/>
    <w:rsid w:val="001725E0"/>
    <w:rsid w:val="001D0D6F"/>
    <w:rsid w:val="001F5800"/>
    <w:rsid w:val="00232CE1"/>
    <w:rsid w:val="00244A38"/>
    <w:rsid w:val="00263E56"/>
    <w:rsid w:val="00276F15"/>
    <w:rsid w:val="00290D43"/>
    <w:rsid w:val="002C7A3E"/>
    <w:rsid w:val="002E2618"/>
    <w:rsid w:val="002F23B5"/>
    <w:rsid w:val="003338A9"/>
    <w:rsid w:val="00382AC1"/>
    <w:rsid w:val="003930AA"/>
    <w:rsid w:val="003D634B"/>
    <w:rsid w:val="00451BC7"/>
    <w:rsid w:val="004649AA"/>
    <w:rsid w:val="004653DC"/>
    <w:rsid w:val="004A4A3C"/>
    <w:rsid w:val="004A68FA"/>
    <w:rsid w:val="004D2E72"/>
    <w:rsid w:val="00517150"/>
    <w:rsid w:val="0058190B"/>
    <w:rsid w:val="005918A0"/>
    <w:rsid w:val="0064656C"/>
    <w:rsid w:val="006531BE"/>
    <w:rsid w:val="00666EF9"/>
    <w:rsid w:val="006937BF"/>
    <w:rsid w:val="006976CC"/>
    <w:rsid w:val="007034CD"/>
    <w:rsid w:val="007565F3"/>
    <w:rsid w:val="0076626D"/>
    <w:rsid w:val="00777278"/>
    <w:rsid w:val="007D0881"/>
    <w:rsid w:val="007F1764"/>
    <w:rsid w:val="00831AC6"/>
    <w:rsid w:val="00835188"/>
    <w:rsid w:val="00856CE2"/>
    <w:rsid w:val="008B1C1E"/>
    <w:rsid w:val="008B29CB"/>
    <w:rsid w:val="0090307F"/>
    <w:rsid w:val="00914176"/>
    <w:rsid w:val="0091596F"/>
    <w:rsid w:val="00917137"/>
    <w:rsid w:val="0093645A"/>
    <w:rsid w:val="00942AE6"/>
    <w:rsid w:val="0096607D"/>
    <w:rsid w:val="009A1C63"/>
    <w:rsid w:val="009D7F6C"/>
    <w:rsid w:val="009E59CE"/>
    <w:rsid w:val="009F31D3"/>
    <w:rsid w:val="00A12C47"/>
    <w:rsid w:val="00A42D13"/>
    <w:rsid w:val="00A92660"/>
    <w:rsid w:val="00AB0929"/>
    <w:rsid w:val="00B74387"/>
    <w:rsid w:val="00BB7212"/>
    <w:rsid w:val="00BD0C1A"/>
    <w:rsid w:val="00BE193C"/>
    <w:rsid w:val="00C43EF1"/>
    <w:rsid w:val="00C545CD"/>
    <w:rsid w:val="00CA7AED"/>
    <w:rsid w:val="00CB7B93"/>
    <w:rsid w:val="00CC3D4B"/>
    <w:rsid w:val="00CC4E69"/>
    <w:rsid w:val="00CE3E43"/>
    <w:rsid w:val="00D27A52"/>
    <w:rsid w:val="00D97EA2"/>
    <w:rsid w:val="00DC3463"/>
    <w:rsid w:val="00DF7A26"/>
    <w:rsid w:val="00E0642E"/>
    <w:rsid w:val="00E14CFF"/>
    <w:rsid w:val="00E23F79"/>
    <w:rsid w:val="00EA532C"/>
    <w:rsid w:val="00EF508E"/>
    <w:rsid w:val="00FB0CA6"/>
    <w:rsid w:val="03CD0975"/>
    <w:rsid w:val="05915FD2"/>
    <w:rsid w:val="0CF1621C"/>
    <w:rsid w:val="0CFE0D9B"/>
    <w:rsid w:val="0E4707EF"/>
    <w:rsid w:val="10956016"/>
    <w:rsid w:val="13CE3F37"/>
    <w:rsid w:val="1B0775A6"/>
    <w:rsid w:val="1B1844D7"/>
    <w:rsid w:val="20B9370B"/>
    <w:rsid w:val="27C73A8B"/>
    <w:rsid w:val="2AEC7E5E"/>
    <w:rsid w:val="2C4F7C29"/>
    <w:rsid w:val="2CE06CBB"/>
    <w:rsid w:val="36010FB1"/>
    <w:rsid w:val="3BC6437C"/>
    <w:rsid w:val="3D413D38"/>
    <w:rsid w:val="41AB32CC"/>
    <w:rsid w:val="442F57A0"/>
    <w:rsid w:val="4520094F"/>
    <w:rsid w:val="45FA7EA2"/>
    <w:rsid w:val="46226CB5"/>
    <w:rsid w:val="46A1330E"/>
    <w:rsid w:val="49A903BF"/>
    <w:rsid w:val="4C937875"/>
    <w:rsid w:val="53E76682"/>
    <w:rsid w:val="55722D3B"/>
    <w:rsid w:val="58924D63"/>
    <w:rsid w:val="5A350DF3"/>
    <w:rsid w:val="5E3C65CD"/>
    <w:rsid w:val="61EB2FD2"/>
    <w:rsid w:val="66F32C73"/>
    <w:rsid w:val="696428AC"/>
    <w:rsid w:val="72D945AA"/>
    <w:rsid w:val="78D41215"/>
    <w:rsid w:val="7BA0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170</Words>
  <Characters>975</Characters>
  <Lines>8</Lines>
  <Paragraphs>2</Paragraphs>
  <TotalTime>0</TotalTime>
  <ScaleCrop>false</ScaleCrop>
  <LinksUpToDate>false</LinksUpToDate>
  <CharactersWithSpaces>1143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2022-01-14T04:06:00Z</dcterms:created>
  <dc:creator>Administrator</dc:creator>
  <cp:lastModifiedBy>bfz1</cp:lastModifiedBy>
  <cp:lastPrinted>2022-03-11T09:11:00Z</cp:lastPrinted>
  <dcterms:modified xsi:type="dcterms:W3CDTF">2026-04-10T03:05:42Z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