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39FD" w14:textId="77777777" w:rsidR="0016497E" w:rsidRPr="009D50C1" w:rsidRDefault="0016497E" w:rsidP="0016497E">
      <w:pPr>
        <w:adjustRightInd w:val="0"/>
        <w:snapToGrid w:val="0"/>
        <w:spacing w:line="600" w:lineRule="exact"/>
        <w:jc w:val="left"/>
        <w:rPr>
          <w:rFonts w:eastAsia="方正黑体_GBK"/>
          <w:color w:val="FF0000"/>
          <w:sz w:val="32"/>
          <w:szCs w:val="32"/>
        </w:rPr>
      </w:pPr>
      <w:r w:rsidRPr="009D50C1">
        <w:rPr>
          <w:rFonts w:eastAsia="方正黑体_GBK"/>
          <w:sz w:val="32"/>
          <w:szCs w:val="32"/>
        </w:rPr>
        <w:t>附件</w:t>
      </w:r>
    </w:p>
    <w:p w14:paraId="622DA46E" w14:textId="77777777" w:rsidR="0016497E" w:rsidRPr="004958F5" w:rsidRDefault="0016497E" w:rsidP="0016497E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center"/>
        <w:rPr>
          <w:rFonts w:ascii="方正小标宋_GBK" w:eastAsia="方正小标宋_GBK" w:hAnsi="宋体" w:hint="eastAsia"/>
          <w:sz w:val="24"/>
          <w:szCs w:val="28"/>
        </w:rPr>
      </w:pPr>
      <w:r w:rsidRPr="004958F5">
        <w:rPr>
          <w:rFonts w:ascii="方正小标宋_GBK" w:eastAsia="方正小标宋_GBK" w:hAnsi="宋体" w:hint="eastAsia"/>
          <w:bCs/>
          <w:sz w:val="24"/>
          <w:szCs w:val="28"/>
        </w:rPr>
        <w:t>重庆</w:t>
      </w:r>
      <w:r w:rsidRPr="004958F5">
        <w:rPr>
          <w:rFonts w:ascii="方正小标宋_GBK" w:eastAsia="方正小标宋_GBK" w:hAnsi="宋体" w:cs="宋体" w:hint="eastAsia"/>
          <w:bCs/>
          <w:sz w:val="24"/>
          <w:szCs w:val="28"/>
        </w:rPr>
        <w:t>九龙</w:t>
      </w:r>
      <w:r w:rsidRPr="004958F5">
        <w:rPr>
          <w:rFonts w:ascii="方正小标宋_GBK" w:eastAsia="方正小标宋_GBK" w:hAnsi="宋体" w:hint="eastAsia"/>
          <w:bCs/>
          <w:sz w:val="24"/>
          <w:szCs w:val="28"/>
        </w:rPr>
        <w:t>工业园区（C区</w:t>
      </w:r>
      <w:r w:rsidRPr="004958F5">
        <w:rPr>
          <w:rFonts w:ascii="方正小标宋_GBK" w:eastAsia="方正小标宋_GBK" w:hAnsi="宋体" w:cs="宋体" w:hint="eastAsia"/>
          <w:bCs/>
          <w:sz w:val="24"/>
          <w:szCs w:val="28"/>
        </w:rPr>
        <w:t>西彭组团</w:t>
      </w:r>
      <w:r w:rsidRPr="004958F5">
        <w:rPr>
          <w:rFonts w:ascii="方正小标宋_GBK" w:eastAsia="方正小标宋_GBK" w:hAnsi="宋体" w:hint="eastAsia"/>
          <w:bCs/>
          <w:sz w:val="24"/>
          <w:szCs w:val="28"/>
        </w:rPr>
        <w:t>Q</w:t>
      </w:r>
      <w:r w:rsidRPr="004958F5">
        <w:rPr>
          <w:rFonts w:ascii="方正小标宋_GBK" w:eastAsia="方正小标宋_GBK" w:hAnsi="宋体" w:cs="宋体" w:hint="eastAsia"/>
          <w:bCs/>
          <w:sz w:val="24"/>
          <w:szCs w:val="28"/>
        </w:rPr>
        <w:t>、</w:t>
      </w:r>
      <w:r w:rsidRPr="004958F5">
        <w:rPr>
          <w:rFonts w:ascii="方正小标宋_GBK" w:eastAsia="方正小标宋_GBK" w:hAnsi="宋体" w:hint="eastAsia"/>
          <w:bCs/>
          <w:sz w:val="24"/>
          <w:szCs w:val="28"/>
        </w:rPr>
        <w:t>R</w:t>
      </w:r>
      <w:r w:rsidRPr="004958F5">
        <w:rPr>
          <w:rFonts w:ascii="方正小标宋_GBK" w:eastAsia="方正小标宋_GBK" w:hAnsi="宋体" w:cs="宋体" w:hint="eastAsia"/>
          <w:bCs/>
          <w:sz w:val="24"/>
          <w:szCs w:val="28"/>
        </w:rPr>
        <w:t>标准分</w:t>
      </w:r>
      <w:r w:rsidRPr="004958F5">
        <w:rPr>
          <w:rFonts w:ascii="方正小标宋_GBK" w:eastAsia="方正小标宋_GBK" w:hAnsi="宋体" w:cs="___WRD_EMBED_SUB_38" w:hint="eastAsia"/>
          <w:bCs/>
          <w:sz w:val="24"/>
          <w:szCs w:val="28"/>
        </w:rPr>
        <w:t>区</w:t>
      </w:r>
      <w:r w:rsidRPr="004958F5">
        <w:rPr>
          <w:rFonts w:ascii="方正小标宋_GBK" w:eastAsia="方正小标宋_GBK" w:hAnsi="宋体" w:hint="eastAsia"/>
          <w:bCs/>
          <w:sz w:val="24"/>
          <w:szCs w:val="28"/>
        </w:rPr>
        <w:t>）</w:t>
      </w:r>
      <w:r w:rsidRPr="004958F5">
        <w:rPr>
          <w:rFonts w:ascii="方正小标宋_GBK" w:eastAsia="方正小标宋_GBK" w:hAnsi="宋体" w:hint="eastAsia"/>
          <w:sz w:val="24"/>
          <w:szCs w:val="28"/>
        </w:rPr>
        <w:t>区域水土保持方案特性表</w:t>
      </w:r>
    </w:p>
    <w:tbl>
      <w:tblPr>
        <w:tblW w:w="509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99"/>
        <w:gridCol w:w="871"/>
        <w:gridCol w:w="709"/>
        <w:gridCol w:w="709"/>
        <w:gridCol w:w="988"/>
        <w:gridCol w:w="1410"/>
        <w:gridCol w:w="1552"/>
        <w:gridCol w:w="1835"/>
      </w:tblGrid>
      <w:tr w:rsidR="0016497E" w:rsidRPr="009A5B41" w14:paraId="2CFE1159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A042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区域名称</w:t>
            </w:r>
          </w:p>
        </w:tc>
        <w:tc>
          <w:tcPr>
            <w:tcW w:w="732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F019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重庆市主城区西</w:t>
            </w:r>
            <w:proofErr w:type="gramStart"/>
            <w:r w:rsidRPr="009A5B41">
              <w:rPr>
                <w:rFonts w:ascii="方正仿宋_GBK" w:eastAsia="方正仿宋_GBK"/>
                <w:color w:val="auto"/>
                <w:szCs w:val="20"/>
              </w:rPr>
              <w:t>彭</w:t>
            </w:r>
            <w:proofErr w:type="gramEnd"/>
            <w:r w:rsidRPr="009A5B41">
              <w:rPr>
                <w:rFonts w:ascii="方正仿宋_GBK" w:eastAsia="方正仿宋_GBK"/>
                <w:color w:val="auto"/>
                <w:szCs w:val="20"/>
              </w:rPr>
              <w:t>组团Q、R标准分区</w:t>
            </w:r>
          </w:p>
        </w:tc>
      </w:tr>
      <w:tr w:rsidR="0016497E" w:rsidRPr="009A5B41" w14:paraId="40F3022B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C3C0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地理位置</w:t>
            </w:r>
          </w:p>
        </w:tc>
        <w:tc>
          <w:tcPr>
            <w:tcW w:w="24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8ABD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>
              <w:rPr>
                <w:rFonts w:ascii="方正仿宋_GBK" w:eastAsia="方正仿宋_GBK"/>
                <w:color w:val="auto"/>
                <w:szCs w:val="20"/>
              </w:rPr>
              <w:t>重庆高新区</w:t>
            </w:r>
            <w:r w:rsidRPr="009A5B41">
              <w:rPr>
                <w:rFonts w:ascii="方正仿宋_GBK" w:eastAsia="方正仿宋_GBK"/>
                <w:color w:val="auto"/>
                <w:szCs w:val="20"/>
              </w:rPr>
              <w:t>巴福镇、石板镇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45CC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区域范围</w:t>
            </w:r>
          </w:p>
        </w:tc>
        <w:tc>
          <w:tcPr>
            <w:tcW w:w="344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6F3D5" w14:textId="77777777" w:rsidR="0016497E" w:rsidRPr="009A5B41" w:rsidRDefault="0016497E" w:rsidP="009A41E9">
            <w:pPr>
              <w:pStyle w:val="10"/>
              <w:spacing w:line="240" w:lineRule="exact"/>
              <w:jc w:val="both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东经106°21′5.6″～106°20′37.85″</w:t>
            </w:r>
          </w:p>
          <w:p w14:paraId="5D953A8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北纬 29°25′2.54″～29°24′56.21″</w:t>
            </w:r>
          </w:p>
        </w:tc>
      </w:tr>
      <w:tr w:rsidR="0016497E" w:rsidRPr="009A5B41" w14:paraId="4AE4DC13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6FD2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批准设立机构</w:t>
            </w:r>
          </w:p>
        </w:tc>
        <w:tc>
          <w:tcPr>
            <w:tcW w:w="24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A3FE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重庆市人民政府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20AA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批准设立时间</w:t>
            </w:r>
          </w:p>
        </w:tc>
        <w:tc>
          <w:tcPr>
            <w:tcW w:w="344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FC06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2013年、2015年</w:t>
            </w:r>
          </w:p>
        </w:tc>
      </w:tr>
      <w:tr w:rsidR="0016497E" w:rsidRPr="009A5B41" w14:paraId="6A2E6685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BA8A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开建时间</w:t>
            </w:r>
          </w:p>
        </w:tc>
        <w:tc>
          <w:tcPr>
            <w:tcW w:w="2441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11FA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2014年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70F9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proofErr w:type="gramStart"/>
            <w:r w:rsidRPr="009A5B41">
              <w:rPr>
                <w:rFonts w:ascii="方正仿宋_GBK" w:eastAsia="方正仿宋_GBK"/>
                <w:color w:val="auto"/>
                <w:szCs w:val="20"/>
              </w:rPr>
              <w:t>完建时间</w:t>
            </w:r>
            <w:proofErr w:type="gramEnd"/>
          </w:p>
        </w:tc>
        <w:tc>
          <w:tcPr>
            <w:tcW w:w="344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F201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2026年</w:t>
            </w:r>
          </w:p>
        </w:tc>
      </w:tr>
      <w:tr w:rsidR="0016497E" w:rsidRPr="009A5B41" w14:paraId="63BEDEA5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FF28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建设内容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8FD3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规模（hm²）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5FED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挖方量</w:t>
            </w:r>
          </w:p>
          <w:p w14:paraId="500E673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（万m³）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B1634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填方量</w:t>
            </w:r>
          </w:p>
          <w:p w14:paraId="7FAFA59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（万m³）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FECB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借方量</w:t>
            </w:r>
          </w:p>
          <w:p w14:paraId="30D8188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（万m³）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268F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proofErr w:type="gramStart"/>
            <w:r w:rsidRPr="009A5B41">
              <w:rPr>
                <w:rFonts w:ascii="方正仿宋_GBK" w:eastAsia="方正仿宋_GBK"/>
                <w:color w:val="auto"/>
                <w:szCs w:val="20"/>
              </w:rPr>
              <w:t>弃方量</w:t>
            </w:r>
            <w:proofErr w:type="gramEnd"/>
          </w:p>
          <w:p w14:paraId="41F15E6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（万m³）</w:t>
            </w:r>
          </w:p>
        </w:tc>
      </w:tr>
      <w:tr w:rsidR="0016497E" w:rsidRPr="009A5B41" w14:paraId="6ACBFE3A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0424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bookmarkStart w:id="0" w:name="_Hlk36909521"/>
            <w:r w:rsidRPr="009A5B41">
              <w:rPr>
                <w:rFonts w:ascii="方正仿宋_GBK" w:eastAsia="方正仿宋_GBK"/>
                <w:color w:val="auto"/>
                <w:szCs w:val="20"/>
              </w:rPr>
              <w:t>区域规划功能区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A50B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580.44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7508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655.29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A036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646.32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203A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3DB9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bookmarkEnd w:id="0"/>
      <w:tr w:rsidR="0016497E" w:rsidRPr="009A5B41" w14:paraId="2F1BD04E" w14:textId="77777777" w:rsidTr="009A41E9">
        <w:trPr>
          <w:jc w:val="center"/>
        </w:trPr>
        <w:tc>
          <w:tcPr>
            <w:tcW w:w="7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4F74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公用设施区</w:t>
            </w:r>
          </w:p>
        </w:tc>
        <w:tc>
          <w:tcPr>
            <w:tcW w:w="1086" w:type="dxa"/>
            <w:gridSpan w:val="2"/>
            <w:vAlign w:val="center"/>
          </w:tcPr>
          <w:p w14:paraId="20EF0A2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绿地公园设施区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640B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68.95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D29D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25.65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BA90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25.65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1202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C50F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77D65F91" w14:textId="77777777" w:rsidTr="009A41E9">
        <w:trPr>
          <w:jc w:val="center"/>
        </w:trPr>
        <w:tc>
          <w:tcPr>
            <w:tcW w:w="7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3045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499B87A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道路管网设施区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FF50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150.15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7BB7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180.89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FF82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189.86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F0ED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90374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223AEE03" w14:textId="77777777" w:rsidTr="009A41E9">
        <w:trPr>
          <w:jc w:val="center"/>
        </w:trPr>
        <w:tc>
          <w:tcPr>
            <w:tcW w:w="7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D232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6D980B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小计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C546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219.10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E144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206.54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C0E1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215.51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5EB6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41D0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19961E7E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9B9B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非建设用地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6660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19.40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56F3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7714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2BA9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E0DD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0F4954BB" w14:textId="77777777" w:rsidTr="009A41E9">
        <w:trPr>
          <w:jc w:val="center"/>
        </w:trPr>
        <w:tc>
          <w:tcPr>
            <w:tcW w:w="7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C92E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施工临时设施区</w:t>
            </w:r>
          </w:p>
        </w:tc>
        <w:tc>
          <w:tcPr>
            <w:tcW w:w="1086" w:type="dxa"/>
            <w:gridSpan w:val="2"/>
            <w:vAlign w:val="center"/>
          </w:tcPr>
          <w:p w14:paraId="763D6F0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表土堆场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A479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13.7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8A40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8666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E0F9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8928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6D3B0603" w14:textId="77777777" w:rsidTr="009A41E9">
        <w:trPr>
          <w:jc w:val="center"/>
        </w:trPr>
        <w:tc>
          <w:tcPr>
            <w:tcW w:w="7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432B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259A94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土石方转运场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122F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17.4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6A9A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762A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08B9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8016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544F728C" w14:textId="77777777" w:rsidTr="009A41E9">
        <w:trPr>
          <w:jc w:val="center"/>
        </w:trPr>
        <w:tc>
          <w:tcPr>
            <w:tcW w:w="1804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29E6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合计</w:t>
            </w:r>
          </w:p>
        </w:tc>
        <w:tc>
          <w:tcPr>
            <w:tcW w:w="143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270F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818.94</w:t>
            </w:r>
          </w:p>
        </w:tc>
        <w:tc>
          <w:tcPr>
            <w:tcW w:w="10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46E0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861.83</w:t>
            </w:r>
          </w:p>
        </w:tc>
        <w:tc>
          <w:tcPr>
            <w:tcW w:w="14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DC22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861.83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E5A8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42A1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</w:tr>
      <w:tr w:rsidR="0016497E" w:rsidRPr="009A5B41" w14:paraId="6D0877C1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A359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涉及水土流失重点防治区</w:t>
            </w:r>
          </w:p>
        </w:tc>
        <w:tc>
          <w:tcPr>
            <w:tcW w:w="588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57A7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涉及重庆市水土流失重点</w:t>
            </w:r>
            <w:proofErr w:type="gramStart"/>
            <w:r w:rsidRPr="009A5B41">
              <w:rPr>
                <w:rFonts w:ascii="方正仿宋_GBK" w:eastAsia="方正仿宋_GBK"/>
                <w:color w:val="auto"/>
                <w:szCs w:val="20"/>
              </w:rPr>
              <w:t>预防区</w:t>
            </w:r>
            <w:proofErr w:type="gramEnd"/>
          </w:p>
        </w:tc>
      </w:tr>
      <w:tr w:rsidR="0016497E" w:rsidRPr="009A5B41" w14:paraId="686730C4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7145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地貌类型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E0F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侵蚀剥蚀丘陵区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751F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气候类型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FB88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亚热带湿润气候区</w:t>
            </w:r>
          </w:p>
        </w:tc>
      </w:tr>
      <w:tr w:rsidR="0016497E" w:rsidRPr="009A5B41" w14:paraId="38200378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6B69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植被类型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8254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亚热带常绿阔叶林地带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A43B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现状林草覆盖率（%）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4D58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44</w:t>
            </w:r>
          </w:p>
        </w:tc>
      </w:tr>
      <w:tr w:rsidR="0016497E" w:rsidRPr="009A5B41" w14:paraId="51A0D8F7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1D64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土壤类型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5564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紫色土、水稻土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BB36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原地貌土壤侵蚀模数[t/(km²·a]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DD5D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1490</w:t>
            </w:r>
          </w:p>
        </w:tc>
      </w:tr>
      <w:tr w:rsidR="0016497E" w:rsidRPr="009A5B41" w14:paraId="65D6024E" w14:textId="77777777" w:rsidTr="009A41E9">
        <w:trPr>
          <w:trHeight w:val="187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0695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防治责任范围面积（hm²）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6719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818.94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FB9A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容许土壤流失量[t/(km²·a]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1ACF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500</w:t>
            </w:r>
          </w:p>
        </w:tc>
      </w:tr>
      <w:tr w:rsidR="0016497E" w:rsidRPr="009A5B41" w14:paraId="2877AA7A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3647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扰动地表面积（hm²）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22C4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511.19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9941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水土保持补偿费计征面积（hm²）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2BFE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429.92</w:t>
            </w:r>
          </w:p>
        </w:tc>
      </w:tr>
      <w:tr w:rsidR="0016497E" w:rsidRPr="009A5B41" w14:paraId="1FC2C9F5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3C35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水土流失重点区域</w:t>
            </w:r>
          </w:p>
        </w:tc>
        <w:tc>
          <w:tcPr>
            <w:tcW w:w="588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9C33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区域规划功能区、公用设施区、施工临时设施区</w:t>
            </w:r>
          </w:p>
        </w:tc>
      </w:tr>
      <w:tr w:rsidR="0016497E" w:rsidRPr="009A5B41" w14:paraId="65803C8A" w14:textId="77777777" w:rsidTr="009A41E9">
        <w:trPr>
          <w:jc w:val="center"/>
        </w:trPr>
        <w:tc>
          <w:tcPr>
            <w:tcW w:w="921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A7F9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防治</w:t>
            </w:r>
          </w:p>
          <w:p w14:paraId="098D978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目标</w:t>
            </w:r>
          </w:p>
        </w:tc>
        <w:tc>
          <w:tcPr>
            <w:tcW w:w="23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BD1F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水土流失治理度（%）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1DC9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97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8AF7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土壤流失控制比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FAEC4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1.0</w:t>
            </w:r>
          </w:p>
        </w:tc>
      </w:tr>
      <w:tr w:rsidR="0016497E" w:rsidRPr="009A5B41" w14:paraId="57ABE837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039F61D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23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9113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渣土防护率（%）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5D62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94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55CF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表土保护率（%）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CAF3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92</w:t>
            </w:r>
          </w:p>
        </w:tc>
      </w:tr>
      <w:tr w:rsidR="0016497E" w:rsidRPr="009A5B41" w14:paraId="0A509F21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78F8682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23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FDE9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林草植被恢复率（%）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BBCB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97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2D12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植被覆盖率（%）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EB2D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27</w:t>
            </w:r>
          </w:p>
        </w:tc>
      </w:tr>
      <w:tr w:rsidR="0016497E" w:rsidRPr="009A5B41" w14:paraId="0A22551C" w14:textId="77777777" w:rsidTr="009A41E9">
        <w:trPr>
          <w:jc w:val="center"/>
        </w:trPr>
        <w:tc>
          <w:tcPr>
            <w:tcW w:w="921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57C7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防治</w:t>
            </w:r>
          </w:p>
          <w:p w14:paraId="51B4EC5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措施</w:t>
            </w:r>
          </w:p>
        </w:tc>
        <w:tc>
          <w:tcPr>
            <w:tcW w:w="23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CDE1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防治分区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1E41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工程措施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7186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植物措施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ED73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临时措施</w:t>
            </w:r>
          </w:p>
        </w:tc>
      </w:tr>
      <w:tr w:rsidR="0016497E" w:rsidRPr="009A5B41" w14:paraId="7C52672B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6227D2A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 w:val="restart"/>
            <w:vAlign w:val="center"/>
          </w:tcPr>
          <w:p w14:paraId="2CC88B4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区域规划功能防治区</w:t>
            </w:r>
          </w:p>
        </w:tc>
        <w:tc>
          <w:tcPr>
            <w:tcW w:w="1436" w:type="dxa"/>
            <w:gridSpan w:val="2"/>
            <w:vAlign w:val="center"/>
          </w:tcPr>
          <w:p w14:paraId="249441B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在建项目防治亚区</w:t>
            </w:r>
          </w:p>
        </w:tc>
        <w:tc>
          <w:tcPr>
            <w:tcW w:w="2440" w:type="dxa"/>
            <w:gridSpan w:val="2"/>
            <w:vAlign w:val="center"/>
          </w:tcPr>
          <w:p w14:paraId="66A9ED4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主体设计：雨水管6390m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0E14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主体设计：场地绿化10.16hm²</w:t>
            </w:r>
          </w:p>
        </w:tc>
        <w:tc>
          <w:tcPr>
            <w:tcW w:w="1866" w:type="dxa"/>
            <w:vAlign w:val="center"/>
          </w:tcPr>
          <w:p w14:paraId="5CCE95B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方案新增：防雨布6.62万m²、临时排水沟11057m、临时沉砂池20座</w:t>
            </w:r>
          </w:p>
        </w:tc>
      </w:tr>
      <w:tr w:rsidR="0016497E" w:rsidRPr="009A5B41" w14:paraId="72FA76B0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004CC6B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1C70627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E7EAFC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未建项目防治亚区</w:t>
            </w:r>
          </w:p>
        </w:tc>
        <w:tc>
          <w:tcPr>
            <w:tcW w:w="2440" w:type="dxa"/>
            <w:gridSpan w:val="2"/>
            <w:vAlign w:val="center"/>
          </w:tcPr>
          <w:p w14:paraId="7D2B064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主体设计：雨水管31482m</w:t>
            </w:r>
          </w:p>
          <w:p w14:paraId="769D354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方案新增：表土剥离31.94万m³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1A9F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主体设计：场地绿化55.53hm²</w:t>
            </w:r>
          </w:p>
          <w:p w14:paraId="28B1C24B" w14:textId="77777777" w:rsidR="0016497E" w:rsidRPr="009A5B41" w:rsidRDefault="0016497E" w:rsidP="009A41E9">
            <w:pPr>
              <w:pStyle w:val="10"/>
              <w:spacing w:line="240" w:lineRule="exact"/>
              <w:jc w:val="both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46778A1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方案新增：防雨布26.25万m²、临时排水沟43858m、临时沉砂池78座</w:t>
            </w:r>
          </w:p>
        </w:tc>
      </w:tr>
      <w:tr w:rsidR="0016497E" w:rsidRPr="009A5B41" w14:paraId="003DF436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0DA83D52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 w:val="restart"/>
            <w:vAlign w:val="center"/>
          </w:tcPr>
          <w:p w14:paraId="0A451E2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公用设施防治区</w:t>
            </w:r>
          </w:p>
        </w:tc>
        <w:tc>
          <w:tcPr>
            <w:tcW w:w="718" w:type="dxa"/>
            <w:tcBorders>
              <w:top w:val="single" w:sz="2" w:space="0" w:color="auto"/>
            </w:tcBorders>
            <w:vAlign w:val="center"/>
          </w:tcPr>
          <w:p w14:paraId="18A35E5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绿地公园设施防治亚区</w:t>
            </w:r>
          </w:p>
        </w:tc>
        <w:tc>
          <w:tcPr>
            <w:tcW w:w="718" w:type="dxa"/>
            <w:tcBorders>
              <w:top w:val="single" w:sz="2" w:space="0" w:color="auto"/>
            </w:tcBorders>
            <w:vAlign w:val="center"/>
          </w:tcPr>
          <w:p w14:paraId="4E67201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未建项目</w:t>
            </w:r>
          </w:p>
        </w:tc>
        <w:tc>
          <w:tcPr>
            <w:tcW w:w="2440" w:type="dxa"/>
            <w:gridSpan w:val="2"/>
            <w:vAlign w:val="center"/>
          </w:tcPr>
          <w:p w14:paraId="6546450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30C5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主体设计：场地绿化64.14hm²</w:t>
            </w:r>
          </w:p>
        </w:tc>
        <w:tc>
          <w:tcPr>
            <w:tcW w:w="1866" w:type="dxa"/>
            <w:vAlign w:val="center"/>
          </w:tcPr>
          <w:p w14:paraId="628E180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方案新增：防雨布6.42万m²、临时排水沟5773m、临时沉砂池58座</w:t>
            </w:r>
          </w:p>
        </w:tc>
      </w:tr>
      <w:tr w:rsidR="0016497E" w:rsidRPr="009A5B41" w14:paraId="475E8982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63CE594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7E44430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1BCC2EE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道路管网设施防治亚区</w:t>
            </w:r>
          </w:p>
        </w:tc>
        <w:tc>
          <w:tcPr>
            <w:tcW w:w="718" w:type="dxa"/>
            <w:vAlign w:val="center"/>
          </w:tcPr>
          <w:p w14:paraId="0330E36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未建项目</w:t>
            </w:r>
          </w:p>
        </w:tc>
        <w:tc>
          <w:tcPr>
            <w:tcW w:w="2440" w:type="dxa"/>
            <w:gridSpan w:val="2"/>
            <w:vAlign w:val="center"/>
          </w:tcPr>
          <w:p w14:paraId="059003A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主体设计：雨水管48295m、透水砖25900m²</w:t>
            </w:r>
          </w:p>
          <w:p w14:paraId="00E95B2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方案新增：表土剥离18.91万m³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B32E4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主体设计：行道树22250株、场地绿化24.05hm²</w:t>
            </w:r>
          </w:p>
        </w:tc>
        <w:tc>
          <w:tcPr>
            <w:tcW w:w="1866" w:type="dxa"/>
            <w:vAlign w:val="center"/>
          </w:tcPr>
          <w:p w14:paraId="2CBC1AD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方案新增：防雨布11.82万m²、临时排水沟14020m、临时沉砂池56座</w:t>
            </w:r>
          </w:p>
        </w:tc>
      </w:tr>
      <w:tr w:rsidR="0016497E" w:rsidRPr="009A5B41" w14:paraId="20EF65E9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10CE1AF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 w:val="restart"/>
            <w:vAlign w:val="center"/>
          </w:tcPr>
          <w:p w14:paraId="4DED4E4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施工临时设施防治区</w:t>
            </w:r>
          </w:p>
        </w:tc>
        <w:tc>
          <w:tcPr>
            <w:tcW w:w="1436" w:type="dxa"/>
            <w:gridSpan w:val="2"/>
            <w:vAlign w:val="center"/>
          </w:tcPr>
          <w:p w14:paraId="23E187E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表土堆场防治亚区</w:t>
            </w:r>
          </w:p>
        </w:tc>
        <w:tc>
          <w:tcPr>
            <w:tcW w:w="2440" w:type="dxa"/>
            <w:gridSpan w:val="2"/>
            <w:vAlign w:val="center"/>
          </w:tcPr>
          <w:p w14:paraId="1E27C85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E860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34A7B59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临时措施：防雨布13.83万0m²、临时排水沟4795m、临时沉砂池19座、编织土袋临时拦挡3425m</w:t>
            </w:r>
          </w:p>
        </w:tc>
      </w:tr>
      <w:tr w:rsidR="0016497E" w:rsidRPr="009A5B41" w14:paraId="52E1D4D9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1B256A9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05781A7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B9C5D1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土石方转运场防治亚区</w:t>
            </w:r>
          </w:p>
        </w:tc>
        <w:tc>
          <w:tcPr>
            <w:tcW w:w="2440" w:type="dxa"/>
            <w:gridSpan w:val="2"/>
            <w:vAlign w:val="center"/>
          </w:tcPr>
          <w:p w14:paraId="68ABF99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4208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55AFC33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临时措施：防雨布17.5万0m²、临时排水沟6090m、临时沉砂池12座、编织土袋临时拦挡4350m</w:t>
            </w:r>
          </w:p>
        </w:tc>
      </w:tr>
      <w:tr w:rsidR="0016497E" w:rsidRPr="009A5B41" w14:paraId="73CA34CE" w14:textId="77777777" w:rsidTr="009A41E9">
        <w:trPr>
          <w:jc w:val="center"/>
        </w:trPr>
        <w:tc>
          <w:tcPr>
            <w:tcW w:w="921" w:type="dxa"/>
            <w:gridSpan w:val="2"/>
            <w:vMerge/>
            <w:vAlign w:val="center"/>
          </w:tcPr>
          <w:p w14:paraId="3CAF72E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23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8F61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投资（万元）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5C43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8335.59（新增649.04）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484F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80277.5（新增0）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DA04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651.12（新增651.12）</w:t>
            </w:r>
          </w:p>
        </w:tc>
      </w:tr>
      <w:tr w:rsidR="0016497E" w:rsidRPr="009A5B41" w14:paraId="7E4949D0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8B674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水土保持总投资（万元）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C3E1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90591.78（新增2627.73）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773F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独立费用（万元）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8A2C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319.51</w:t>
            </w:r>
          </w:p>
        </w:tc>
      </w:tr>
      <w:tr w:rsidR="0016497E" w:rsidRPr="009A5B41" w14:paraId="6CC606FF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1A02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监测费（万元）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8FDA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291.5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816E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水土保持补偿费（元）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3AC4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6018880</w:t>
            </w:r>
          </w:p>
        </w:tc>
      </w:tr>
      <w:tr w:rsidR="0016497E" w:rsidRPr="009A5B41" w14:paraId="5ECCA85C" w14:textId="77777777" w:rsidTr="009A41E9">
        <w:trPr>
          <w:trHeight w:val="26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75CC0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方案服务期</w:t>
            </w:r>
          </w:p>
        </w:tc>
        <w:tc>
          <w:tcPr>
            <w:tcW w:w="588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EBD2" w14:textId="77777777" w:rsidR="0016497E" w:rsidRPr="009A5B41" w:rsidRDefault="0016497E" w:rsidP="009A41E9">
            <w:pPr>
              <w:widowControl/>
              <w:spacing w:line="240" w:lineRule="exact"/>
              <w:jc w:val="center"/>
              <w:rPr>
                <w:rFonts w:ascii="方正仿宋_GBK" w:eastAsia="方正仿宋_GBK"/>
                <w:bCs/>
                <w:sz w:val="20"/>
                <w:szCs w:val="20"/>
                <w:lang w:bidi="ar"/>
              </w:rPr>
            </w:pPr>
            <w:r w:rsidRPr="009A5B41">
              <w:rPr>
                <w:rFonts w:ascii="方正仿宋_GBK" w:eastAsia="方正仿宋_GBK"/>
                <w:bCs/>
                <w:sz w:val="20"/>
                <w:szCs w:val="20"/>
                <w:lang w:bidi="ar"/>
              </w:rPr>
              <w:t>2021年</w:t>
            </w:r>
            <w:r w:rsidRPr="009A5B41">
              <w:rPr>
                <w:rFonts w:ascii="方正仿宋_GBK" w:eastAsia="方正仿宋_GBK" w:hint="eastAsia"/>
                <w:bCs/>
                <w:sz w:val="20"/>
                <w:szCs w:val="20"/>
                <w:lang w:bidi="ar"/>
              </w:rPr>
              <w:t>8</w:t>
            </w:r>
            <w:r w:rsidRPr="009A5B41">
              <w:rPr>
                <w:rFonts w:ascii="方正仿宋_GBK" w:eastAsia="方正仿宋_GBK"/>
                <w:bCs/>
                <w:sz w:val="20"/>
                <w:szCs w:val="20"/>
                <w:lang w:bidi="ar"/>
              </w:rPr>
              <w:t>月至2026年</w:t>
            </w:r>
            <w:r w:rsidRPr="009A5B41">
              <w:rPr>
                <w:rFonts w:ascii="方正仿宋_GBK" w:eastAsia="方正仿宋_GBK" w:hint="eastAsia"/>
                <w:bCs/>
                <w:sz w:val="20"/>
                <w:szCs w:val="20"/>
                <w:lang w:bidi="ar"/>
              </w:rPr>
              <w:t>7</w:t>
            </w:r>
            <w:r w:rsidRPr="009A5B41">
              <w:rPr>
                <w:rFonts w:ascii="方正仿宋_GBK" w:eastAsia="方正仿宋_GBK"/>
                <w:bCs/>
                <w:sz w:val="20"/>
                <w:szCs w:val="20"/>
                <w:lang w:bidi="ar"/>
              </w:rPr>
              <w:t>月</w:t>
            </w:r>
          </w:p>
        </w:tc>
      </w:tr>
      <w:tr w:rsidR="0016497E" w:rsidRPr="009A5B41" w14:paraId="21A19881" w14:textId="77777777" w:rsidTr="009A41E9">
        <w:trPr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BFC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lastRenderedPageBreak/>
              <w:t>区域管理机构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1979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重庆</w:t>
            </w:r>
            <w:r>
              <w:rPr>
                <w:rFonts w:ascii="方正仿宋_GBK" w:eastAsia="方正仿宋_GBK"/>
                <w:color w:val="auto"/>
                <w:szCs w:val="20"/>
              </w:rPr>
              <w:t>高新</w:t>
            </w:r>
            <w:r w:rsidRPr="009A5B41">
              <w:rPr>
                <w:rFonts w:ascii="方正仿宋_GBK" w:eastAsia="方正仿宋_GBK"/>
                <w:color w:val="auto"/>
                <w:szCs w:val="20"/>
              </w:rPr>
              <w:t>区巴福镇人民政府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0D186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方案编制单位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2C37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中煤科工重庆设计研究院（集团）有限公司</w:t>
            </w:r>
          </w:p>
        </w:tc>
      </w:tr>
      <w:tr w:rsidR="0016497E" w:rsidRPr="009A5B41" w14:paraId="62DA96A7" w14:textId="77777777" w:rsidTr="009A41E9">
        <w:trPr>
          <w:trHeight w:val="22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4526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法定代表人及电话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9DC1C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DFBD5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法定代表人及电话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2F62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薛巍</w:t>
            </w:r>
          </w:p>
        </w:tc>
      </w:tr>
      <w:tr w:rsidR="0016497E" w:rsidRPr="009A5B41" w14:paraId="7ABAC502" w14:textId="77777777" w:rsidTr="009A41E9">
        <w:trPr>
          <w:trHeight w:val="30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265F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地址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FE5F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重庆市九龙坡区福兴路20号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6182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地址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9B828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重庆市渝中区长江二路179号</w:t>
            </w:r>
          </w:p>
        </w:tc>
      </w:tr>
      <w:tr w:rsidR="0016497E" w:rsidRPr="009A5B41" w14:paraId="02A66D71" w14:textId="77777777" w:rsidTr="009A41E9">
        <w:trPr>
          <w:trHeight w:val="21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4EA9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邮政编码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88F47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400000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D6A4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邮政编码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2738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400016</w:t>
            </w:r>
          </w:p>
        </w:tc>
      </w:tr>
      <w:tr w:rsidR="0016497E" w:rsidRPr="009A5B41" w14:paraId="193014F1" w14:textId="77777777" w:rsidTr="009A41E9">
        <w:trPr>
          <w:trHeight w:val="21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13D7A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联系人及电话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0385B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proofErr w:type="gramStart"/>
            <w:r w:rsidRPr="009A5B41">
              <w:rPr>
                <w:rFonts w:ascii="方正仿宋_GBK" w:eastAsia="方正仿宋_GBK"/>
                <w:color w:val="auto"/>
                <w:szCs w:val="20"/>
              </w:rPr>
              <w:t>张庆伦</w:t>
            </w:r>
            <w:proofErr w:type="gramEnd"/>
            <w:r w:rsidRPr="009A5B41">
              <w:rPr>
                <w:rFonts w:ascii="方正仿宋_GBK" w:eastAsia="方正仿宋_GBK"/>
                <w:color w:val="auto"/>
                <w:szCs w:val="20"/>
              </w:rPr>
              <w:t>/13883948049</w:t>
            </w: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ECD0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联系人及电话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C7ACE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雷璐/18983998705</w:t>
            </w:r>
          </w:p>
        </w:tc>
      </w:tr>
      <w:tr w:rsidR="0016497E" w:rsidRPr="009A5B41" w14:paraId="63FF9137" w14:textId="77777777" w:rsidTr="009A41E9">
        <w:trPr>
          <w:trHeight w:val="21"/>
          <w:jc w:val="center"/>
        </w:trPr>
        <w:tc>
          <w:tcPr>
            <w:tcW w:w="324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02ECD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传真/电子信箱</w:t>
            </w:r>
          </w:p>
        </w:tc>
        <w:tc>
          <w:tcPr>
            <w:tcW w:w="24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052B9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</w:p>
        </w:tc>
        <w:tc>
          <w:tcPr>
            <w:tcW w:w="15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284C3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传真/电子信箱</w:t>
            </w: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BE28F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1509490985@qq.com</w:t>
            </w:r>
          </w:p>
        </w:tc>
      </w:tr>
      <w:tr w:rsidR="0016497E" w:rsidRPr="009A5B41" w14:paraId="785C4B43" w14:textId="77777777" w:rsidTr="009A41E9">
        <w:trPr>
          <w:trHeight w:val="21"/>
          <w:jc w:val="center"/>
        </w:trPr>
        <w:tc>
          <w:tcPr>
            <w:tcW w:w="912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2E231" w14:textId="77777777" w:rsidR="0016497E" w:rsidRPr="009A5B41" w:rsidRDefault="0016497E" w:rsidP="009A41E9">
            <w:pPr>
              <w:pStyle w:val="10"/>
              <w:spacing w:line="240" w:lineRule="exact"/>
              <w:rPr>
                <w:rFonts w:ascii="方正仿宋_GBK" w:eastAsia="方正仿宋_GBK"/>
                <w:color w:val="auto"/>
                <w:szCs w:val="20"/>
              </w:rPr>
            </w:pPr>
            <w:r w:rsidRPr="009A5B41">
              <w:rPr>
                <w:rFonts w:ascii="方正仿宋_GBK" w:eastAsia="方正仿宋_GBK"/>
                <w:color w:val="auto"/>
                <w:szCs w:val="20"/>
              </w:rPr>
              <w:t>备注：施工临时设施区位于地块内部，合计占地面积不重复计算。</w:t>
            </w:r>
          </w:p>
        </w:tc>
      </w:tr>
    </w:tbl>
    <w:p w14:paraId="3B395256" w14:textId="77777777" w:rsidR="00AB1F65" w:rsidRPr="0016497E" w:rsidRDefault="00AB1F65"/>
    <w:sectPr w:rsidR="00AB1F65" w:rsidRPr="0016497E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B7B4" w14:textId="77777777" w:rsidR="00374469" w:rsidRDefault="00374469" w:rsidP="0016497E">
      <w:r>
        <w:separator/>
      </w:r>
    </w:p>
  </w:endnote>
  <w:endnote w:type="continuationSeparator" w:id="0">
    <w:p w14:paraId="1D8A701B" w14:textId="77777777" w:rsidR="00374469" w:rsidRDefault="00374469" w:rsidP="0016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__WRD_EMBED_SUB_38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4FF6" w14:textId="77777777" w:rsidR="00374469" w:rsidRDefault="00374469" w:rsidP="0016497E">
      <w:r>
        <w:separator/>
      </w:r>
    </w:p>
  </w:footnote>
  <w:footnote w:type="continuationSeparator" w:id="0">
    <w:p w14:paraId="3B896E5E" w14:textId="77777777" w:rsidR="00374469" w:rsidRDefault="00374469" w:rsidP="0016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E8"/>
    <w:rsid w:val="000D6349"/>
    <w:rsid w:val="0016497E"/>
    <w:rsid w:val="001845E8"/>
    <w:rsid w:val="00374469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926CD-FCBC-4AF0-8B1B-CFE9FB19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9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97E"/>
    <w:rPr>
      <w:sz w:val="18"/>
      <w:szCs w:val="18"/>
    </w:rPr>
  </w:style>
  <w:style w:type="character" w:customStyle="1" w:styleId="10Char">
    <w:name w:val="表格10号 Char"/>
    <w:link w:val="10"/>
    <w:qFormat/>
    <w:rsid w:val="0016497E"/>
    <w:rPr>
      <w:rFonts w:ascii="仿宋_GB2312" w:eastAsia="仿宋_GB2312" w:cs="仿宋_GB2312"/>
      <w:bCs/>
      <w:color w:val="000000"/>
      <w:szCs w:val="28"/>
    </w:rPr>
  </w:style>
  <w:style w:type="paragraph" w:customStyle="1" w:styleId="10">
    <w:name w:val="表格10号"/>
    <w:basedOn w:val="a"/>
    <w:link w:val="10Char"/>
    <w:qFormat/>
    <w:rsid w:val="0016497E"/>
    <w:pPr>
      <w:keepLines/>
      <w:adjustRightInd w:val="0"/>
      <w:snapToGrid w:val="0"/>
      <w:jc w:val="center"/>
    </w:pPr>
    <w:rPr>
      <w:rFonts w:ascii="仿宋_GB2312" w:eastAsia="仿宋_GB2312" w:hAnsiTheme="minorHAnsi" w:cs="仿宋_GB2312" w:hint="eastAsia"/>
      <w:bCs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2021-07-29T08:37:00Z</dcterms:created>
  <dcterms:modified xsi:type="dcterms:W3CDTF">2021-07-29T08:37:00Z</dcterms:modified>
</cp:coreProperties>
</file>